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20639C9B" w:rsidR="009E7D0C" w:rsidRPr="00696301" w:rsidRDefault="008D045D" w:rsidP="0076375E">
      <w:pPr>
        <w:jc w:val="center"/>
        <w:rPr>
          <w:rFonts w:ascii="Times New Roman" w:hAnsi="Times New Roman"/>
          <w:sz w:val="24"/>
        </w:rPr>
      </w:pPr>
      <w:bookmarkStart w:id="0" w:name="_Toc262568021"/>
      <w:bookmarkStart w:id="1" w:name="_Toc295829847"/>
      <w:r>
        <w:rPr>
          <w:rFonts w:ascii="Times New Roman" w:hAnsi="Times New Roman"/>
          <w:sz w:val="24"/>
        </w:rPr>
        <w:t>LT</w:t>
      </w:r>
    </w:p>
    <w:p w14:paraId="24333E7A" w14:textId="068FF302" w:rsidR="008D696E" w:rsidRDefault="008D696E" w:rsidP="00A33695">
      <w:pPr>
        <w:jc w:val="center"/>
        <w:rPr>
          <w:rFonts w:ascii="Times New Roman" w:hAnsi="Times New Roman"/>
          <w:sz w:val="24"/>
        </w:rPr>
      </w:pPr>
      <w:r>
        <w:rPr>
          <w:rFonts w:ascii="Times New Roman" w:hAnsi="Times New Roman"/>
          <w:sz w:val="24"/>
        </w:rPr>
        <w:t>II PRIEDAS</w:t>
      </w:r>
    </w:p>
    <w:p w14:paraId="37362007" w14:textId="08E6D03A" w:rsidR="002648B0" w:rsidRPr="00696301" w:rsidRDefault="008D696E" w:rsidP="00A33695">
      <w:pPr>
        <w:jc w:val="center"/>
        <w:rPr>
          <w:rFonts w:ascii="Times New Roman" w:hAnsi="Times New Roman"/>
          <w:sz w:val="24"/>
        </w:rPr>
      </w:pPr>
      <w:r>
        <w:rPr>
          <w:rFonts w:ascii="Times New Roman" w:hAnsi="Times New Roman"/>
          <w:sz w:val="24"/>
        </w:rPr>
        <w:t xml:space="preserve">„XI PRIEDAS </w:t>
      </w:r>
    </w:p>
    <w:p w14:paraId="2C40683C" w14:textId="26F597FA" w:rsidR="00436204" w:rsidRPr="00696301" w:rsidRDefault="00D11E4C" w:rsidP="004E7DCF">
      <w:pPr>
        <w:jc w:val="center"/>
        <w:rPr>
          <w:rFonts w:ascii="Times New Roman" w:hAnsi="Times New Roman"/>
          <w:b/>
          <w:sz w:val="24"/>
        </w:rPr>
      </w:pPr>
      <w:r>
        <w:rPr>
          <w:rFonts w:ascii="Times New Roman" w:hAnsi="Times New Roman"/>
          <w:b/>
          <w:sz w:val="24"/>
        </w:rPr>
        <w:t>NURODYMAI DĖL INFORMACIJOS APIE RtM K VEIKSNIŲ REIKALAVIMĄ, REMIANTIS K-NPR, TEIKIMO</w:t>
      </w:r>
    </w:p>
    <w:p w14:paraId="3DEB94EC" w14:textId="77777777" w:rsidR="00783881" w:rsidRPr="00696301" w:rsidRDefault="002648B0" w:rsidP="00487A02">
      <w:pPr>
        <w:pStyle w:val="InstructionsText"/>
      </w:pPr>
      <w:r>
        <w:t>Turinys</w:t>
      </w:r>
    </w:p>
    <w:p w14:paraId="57A6D54E" w14:textId="488BC62B" w:rsidR="004069B8" w:rsidRDefault="00745369">
      <w:pPr>
        <w:pStyle w:val="TOC2"/>
        <w:rPr>
          <w:rFonts w:asciiTheme="minorHAnsi" w:eastAsiaTheme="minorEastAsia" w:hAnsiTheme="minorHAnsi" w:cstheme="minorBidi"/>
          <w:b w:val="0"/>
          <w:smallCaps w:val="0"/>
          <w:kern w:val="2"/>
          <w:sz w:val="24"/>
          <w:szCs w:val="24"/>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917559" w:history="1">
        <w:r w:rsidR="004069B8" w:rsidRPr="0082402E">
          <w:rPr>
            <w:rStyle w:val="Hyperlink"/>
            <w:rFonts w:ascii="Times New Roman" w:hAnsi="Times New Roman"/>
          </w:rPr>
          <w:t>I DALIS. BENDRIEJI NURODYMAI</w:t>
        </w:r>
        <w:r w:rsidR="004069B8">
          <w:rPr>
            <w:webHidden/>
          </w:rPr>
          <w:tab/>
        </w:r>
        <w:r w:rsidR="004069B8">
          <w:rPr>
            <w:webHidden/>
          </w:rPr>
          <w:fldChar w:fldCharType="begin"/>
        </w:r>
        <w:r w:rsidR="004069B8">
          <w:rPr>
            <w:webHidden/>
          </w:rPr>
          <w:instrText xml:space="preserve"> PAGEREF _Toc210917559 \h </w:instrText>
        </w:r>
        <w:r w:rsidR="004069B8">
          <w:rPr>
            <w:webHidden/>
          </w:rPr>
        </w:r>
        <w:r w:rsidR="004069B8">
          <w:rPr>
            <w:webHidden/>
          </w:rPr>
          <w:fldChar w:fldCharType="separate"/>
        </w:r>
        <w:r w:rsidR="004069B8">
          <w:rPr>
            <w:webHidden/>
          </w:rPr>
          <w:t>2</w:t>
        </w:r>
        <w:r w:rsidR="004069B8">
          <w:rPr>
            <w:webHidden/>
          </w:rPr>
          <w:fldChar w:fldCharType="end"/>
        </w:r>
      </w:hyperlink>
    </w:p>
    <w:p w14:paraId="3651FF08" w14:textId="03A2C74D"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60" w:history="1">
        <w:r w:rsidRPr="00DA4678">
          <w:rPr>
            <w:rStyle w:val="Hyperlink"/>
            <w:rFonts w:ascii="Times New Roman" w:hAnsi="Times New Roman"/>
            <w:sz w:val="18"/>
            <w:szCs w:val="18"/>
          </w:rPr>
          <w:t>1.</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TVARKA</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_Toc210917560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2</w:t>
        </w:r>
        <w:r w:rsidRPr="00DA4678">
          <w:rPr>
            <w:rFonts w:ascii="Times New Roman" w:hAnsi="Times New Roman"/>
            <w:webHidden/>
            <w:sz w:val="18"/>
            <w:szCs w:val="18"/>
          </w:rPr>
          <w:fldChar w:fldCharType="end"/>
        </w:r>
      </w:hyperlink>
    </w:p>
    <w:p w14:paraId="02B1ACC1" w14:textId="49D4E2F3"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61" w:history="1">
        <w:r w:rsidRPr="00DA4678">
          <w:rPr>
            <w:rStyle w:val="Hyperlink"/>
            <w:rFonts w:ascii="Times New Roman" w:hAnsi="Times New Roman"/>
            <w:sz w:val="18"/>
            <w:szCs w:val="18"/>
          </w:rPr>
          <w:t>1.1.</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Numeravimo tvarka</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_Toc210917561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2</w:t>
        </w:r>
        <w:r w:rsidRPr="00DA4678">
          <w:rPr>
            <w:rFonts w:ascii="Times New Roman" w:hAnsi="Times New Roman"/>
            <w:webHidden/>
            <w:sz w:val="18"/>
            <w:szCs w:val="18"/>
          </w:rPr>
          <w:fldChar w:fldCharType="end"/>
        </w:r>
      </w:hyperlink>
    </w:p>
    <w:p w14:paraId="753D093B" w14:textId="6109FB4B"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62" w:history="1">
        <w:r w:rsidRPr="00DA4678">
          <w:rPr>
            <w:rStyle w:val="Hyperlink"/>
            <w:rFonts w:ascii="Times New Roman" w:hAnsi="Times New Roman"/>
            <w:sz w:val="18"/>
            <w:szCs w:val="18"/>
          </w:rPr>
          <w:t>1.2.</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Ženklų tvarka</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_Toc210917562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2</w:t>
        </w:r>
        <w:r w:rsidRPr="00DA4678">
          <w:rPr>
            <w:rFonts w:ascii="Times New Roman" w:hAnsi="Times New Roman"/>
            <w:webHidden/>
            <w:sz w:val="18"/>
            <w:szCs w:val="18"/>
          </w:rPr>
          <w:fldChar w:fldCharType="end"/>
        </w:r>
      </w:hyperlink>
    </w:p>
    <w:p w14:paraId="41980137" w14:textId="37B3DB68"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63" w:history="1">
        <w:r w:rsidRPr="00DA4678">
          <w:rPr>
            <w:rStyle w:val="Hyperlink"/>
            <w:rFonts w:ascii="Times New Roman" w:hAnsi="Times New Roman"/>
            <w:sz w:val="18"/>
            <w:szCs w:val="18"/>
          </w:rPr>
          <w:t>1.3.</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Nuorodos į Reglamentą (ES) Nr. 575/2013</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_Toc210917563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2</w:t>
        </w:r>
        <w:r w:rsidRPr="00DA4678">
          <w:rPr>
            <w:rFonts w:ascii="Times New Roman" w:hAnsi="Times New Roman"/>
            <w:webHidden/>
            <w:sz w:val="18"/>
            <w:szCs w:val="18"/>
          </w:rPr>
          <w:fldChar w:fldCharType="end"/>
        </w:r>
      </w:hyperlink>
    </w:p>
    <w:p w14:paraId="7F737138" w14:textId="3A915BEA"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64" w:history="1">
        <w:r w:rsidRPr="00DA4678">
          <w:rPr>
            <w:rStyle w:val="Hyperlink"/>
            <w:rFonts w:ascii="Times New Roman" w:hAnsi="Times New Roman"/>
            <w:sz w:val="18"/>
            <w:szCs w:val="18"/>
          </w:rPr>
          <w:t>II DALIS. SU ŠABLONU SUSIJĘ NURODYMAI. RINKOS RIZIKOS ŠABLONAI</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_Toc210917564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3</w:t>
        </w:r>
        <w:r w:rsidRPr="00DA4678">
          <w:rPr>
            <w:rFonts w:ascii="Times New Roman" w:hAnsi="Times New Roman"/>
            <w:webHidden/>
            <w:sz w:val="18"/>
            <w:szCs w:val="18"/>
          </w:rPr>
          <w:fldChar w:fldCharType="end"/>
        </w:r>
      </w:hyperlink>
    </w:p>
    <w:p w14:paraId="0ACB742C" w14:textId="1FB41E36"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65" w:history="1">
        <w:r w:rsidRPr="00DA4678">
          <w:rPr>
            <w:rStyle w:val="Hyperlink"/>
            <w:rFonts w:ascii="Times New Roman" w:hAnsi="Times New Roman"/>
            <w:sz w:val="18"/>
            <w:szCs w:val="18"/>
          </w:rPr>
          <w:t>1.</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Bendrosios pastabos</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_Toc210917565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3</w:t>
        </w:r>
        <w:r w:rsidRPr="00DA4678">
          <w:rPr>
            <w:rFonts w:ascii="Times New Roman" w:hAnsi="Times New Roman"/>
            <w:webHidden/>
            <w:sz w:val="18"/>
            <w:szCs w:val="18"/>
          </w:rPr>
          <w:fldChar w:fldCharType="end"/>
        </w:r>
      </w:hyperlink>
    </w:p>
    <w:p w14:paraId="3A347528" w14:textId="73CB4885"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66" w:history="1">
        <w:r w:rsidRPr="00DA4678">
          <w:rPr>
            <w:rStyle w:val="Hyperlink"/>
            <w:rFonts w:ascii="Times New Roman" w:hAnsi="Times New Roman"/>
            <w:sz w:val="18"/>
            <w:szCs w:val="18"/>
          </w:rPr>
          <w:t>2.</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C 18.00. Rinkos rizika. Standartizuotas metodas, taikomas skolos priemonių, kuriomis prekiaujama, pozicijų rizikai (MKR SA TDI)</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_Toc210917566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3</w:t>
        </w:r>
        <w:r w:rsidRPr="00DA4678">
          <w:rPr>
            <w:rFonts w:ascii="Times New Roman" w:hAnsi="Times New Roman"/>
            <w:webHidden/>
            <w:sz w:val="18"/>
            <w:szCs w:val="18"/>
          </w:rPr>
          <w:fldChar w:fldCharType="end"/>
        </w:r>
      </w:hyperlink>
    </w:p>
    <w:p w14:paraId="097F49B7" w14:textId="4722761A"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67" w:history="1">
        <w:r w:rsidRPr="00DA4678">
          <w:rPr>
            <w:rStyle w:val="Hyperlink"/>
            <w:rFonts w:ascii="Times New Roman" w:hAnsi="Times New Roman"/>
            <w:sz w:val="18"/>
            <w:szCs w:val="18"/>
          </w:rPr>
          <w:t>2.1.</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Bendrosios pastabos</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_Toc210917567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3</w:t>
        </w:r>
        <w:r w:rsidRPr="00DA4678">
          <w:rPr>
            <w:rFonts w:ascii="Times New Roman" w:hAnsi="Times New Roman"/>
            <w:webHidden/>
            <w:sz w:val="18"/>
            <w:szCs w:val="18"/>
          </w:rPr>
          <w:fldChar w:fldCharType="end"/>
        </w:r>
      </w:hyperlink>
    </w:p>
    <w:p w14:paraId="733B9E36" w14:textId="13E074D9"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68" w:history="1">
        <w:r w:rsidRPr="00DA4678">
          <w:rPr>
            <w:rStyle w:val="Hyperlink"/>
            <w:rFonts w:ascii="Times New Roman" w:hAnsi="Times New Roman"/>
            <w:sz w:val="18"/>
            <w:szCs w:val="18"/>
          </w:rPr>
          <w:t>2.2.</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Nurodymai dėl konkrečių pozicijų</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_Toc210917568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4</w:t>
        </w:r>
        <w:r w:rsidRPr="00DA4678">
          <w:rPr>
            <w:rFonts w:ascii="Times New Roman" w:hAnsi="Times New Roman"/>
            <w:webHidden/>
            <w:sz w:val="18"/>
            <w:szCs w:val="18"/>
          </w:rPr>
          <w:fldChar w:fldCharType="end"/>
        </w:r>
      </w:hyperlink>
    </w:p>
    <w:p w14:paraId="51316850" w14:textId="52CC9C26"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69" w:history="1">
        <w:r w:rsidRPr="00DA4678">
          <w:rPr>
            <w:rStyle w:val="Hyperlink"/>
            <w:rFonts w:ascii="Times New Roman" w:hAnsi="Times New Roman"/>
            <w:sz w:val="18"/>
            <w:szCs w:val="18"/>
          </w:rPr>
          <w:t>3.</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C 19.00. RINKOS RIZIKA. STANDARTIZUOTAS METODAS, TAIKOMAS SPECIFINEI PAKEITIMO VERTYBINIAIS POPIERIAIS RIZIKAI (MKR SA SEC)</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_Toc210917569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6</w:t>
        </w:r>
        <w:r w:rsidRPr="00DA4678">
          <w:rPr>
            <w:rFonts w:ascii="Times New Roman" w:hAnsi="Times New Roman"/>
            <w:webHidden/>
            <w:sz w:val="18"/>
            <w:szCs w:val="18"/>
          </w:rPr>
          <w:fldChar w:fldCharType="end"/>
        </w:r>
      </w:hyperlink>
    </w:p>
    <w:p w14:paraId="6F7BB813" w14:textId="1E0FE48D"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70" w:history="1">
        <w:r w:rsidRPr="00DA4678">
          <w:rPr>
            <w:rStyle w:val="Hyperlink"/>
            <w:rFonts w:ascii="Times New Roman" w:hAnsi="Times New Roman"/>
            <w:sz w:val="18"/>
            <w:szCs w:val="18"/>
          </w:rPr>
          <w:t>3.1.</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Bendrosios pastabos</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_Toc210917570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6</w:t>
        </w:r>
        <w:r w:rsidRPr="00DA4678">
          <w:rPr>
            <w:rFonts w:ascii="Times New Roman" w:hAnsi="Times New Roman"/>
            <w:webHidden/>
            <w:sz w:val="18"/>
            <w:szCs w:val="18"/>
          </w:rPr>
          <w:fldChar w:fldCharType="end"/>
        </w:r>
      </w:hyperlink>
    </w:p>
    <w:p w14:paraId="7851AA22" w14:textId="659701FF"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71" w:history="1">
        <w:r w:rsidRPr="00DA4678">
          <w:rPr>
            <w:rStyle w:val="Hyperlink"/>
            <w:rFonts w:ascii="Times New Roman" w:hAnsi="Times New Roman"/>
            <w:sz w:val="18"/>
            <w:szCs w:val="18"/>
          </w:rPr>
          <w:t>3.2.</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Nurodymai dėl konkrečių pozicijų</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_Toc210917571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6</w:t>
        </w:r>
        <w:r w:rsidRPr="00DA4678">
          <w:rPr>
            <w:rFonts w:ascii="Times New Roman" w:hAnsi="Times New Roman"/>
            <w:webHidden/>
            <w:sz w:val="18"/>
            <w:szCs w:val="18"/>
          </w:rPr>
          <w:fldChar w:fldCharType="end"/>
        </w:r>
      </w:hyperlink>
    </w:p>
    <w:p w14:paraId="6FF8D6A8" w14:textId="48A78A72"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72" w:history="1">
        <w:r w:rsidRPr="00DA4678">
          <w:rPr>
            <w:rStyle w:val="Hyperlink"/>
            <w:rFonts w:ascii="Times New Roman" w:hAnsi="Times New Roman"/>
            <w:sz w:val="18"/>
            <w:szCs w:val="18"/>
          </w:rPr>
          <w:t>4.</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C 20.00. RINKOS RIZIKA. STANDARTIZUOTAS METODAS, TAIKOMAS SPECIFINEI RIZIKAI, SUSIJUSIAI SU KORELIACINĖS PREKYBOS PORTFELIUI PRISKIRTOMIS POZICIJOMIS (MKR SA CTP)</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_Toc210917572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9</w:t>
        </w:r>
        <w:r w:rsidRPr="00DA4678">
          <w:rPr>
            <w:rFonts w:ascii="Times New Roman" w:hAnsi="Times New Roman"/>
            <w:webHidden/>
            <w:sz w:val="18"/>
            <w:szCs w:val="18"/>
          </w:rPr>
          <w:fldChar w:fldCharType="end"/>
        </w:r>
      </w:hyperlink>
    </w:p>
    <w:p w14:paraId="384FD20F" w14:textId="7D7C29A5"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73" w:history="1">
        <w:r w:rsidRPr="00DA4678">
          <w:rPr>
            <w:rStyle w:val="Hyperlink"/>
            <w:rFonts w:ascii="Times New Roman" w:hAnsi="Times New Roman"/>
            <w:sz w:val="18"/>
            <w:szCs w:val="18"/>
          </w:rPr>
          <w:t>4.1.</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Bendrosios pastabos</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_Toc210917573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9</w:t>
        </w:r>
        <w:r w:rsidRPr="00DA4678">
          <w:rPr>
            <w:rFonts w:ascii="Times New Roman" w:hAnsi="Times New Roman"/>
            <w:webHidden/>
            <w:sz w:val="18"/>
            <w:szCs w:val="18"/>
          </w:rPr>
          <w:fldChar w:fldCharType="end"/>
        </w:r>
      </w:hyperlink>
    </w:p>
    <w:p w14:paraId="693A59FF" w14:textId="38292F6D"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74" w:history="1">
        <w:r w:rsidRPr="00DA4678">
          <w:rPr>
            <w:rStyle w:val="Hyperlink"/>
            <w:rFonts w:ascii="Times New Roman" w:hAnsi="Times New Roman"/>
            <w:sz w:val="18"/>
            <w:szCs w:val="18"/>
          </w:rPr>
          <w:t>4.2.</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Nurodymai dėl konkrečių pozicijų</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_Toc210917574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9</w:t>
        </w:r>
        <w:r w:rsidRPr="00DA4678">
          <w:rPr>
            <w:rFonts w:ascii="Times New Roman" w:hAnsi="Times New Roman"/>
            <w:webHidden/>
            <w:sz w:val="18"/>
            <w:szCs w:val="18"/>
          </w:rPr>
          <w:fldChar w:fldCharType="end"/>
        </w:r>
      </w:hyperlink>
    </w:p>
    <w:p w14:paraId="7E9B6F96" w14:textId="174F35EA"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75" w:history="1">
        <w:r w:rsidRPr="00DA4678">
          <w:rPr>
            <w:rStyle w:val="Hyperlink"/>
            <w:rFonts w:ascii="Times New Roman" w:hAnsi="Times New Roman"/>
            <w:sz w:val="18"/>
            <w:szCs w:val="18"/>
          </w:rPr>
          <w:t>5.</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C 21.00. Rinkos rizika. Standartizuotas metodas, taikomas nuosavybės vertybinių popierių pozicijos rizikai (MKR SA EQU)</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_Toc210917575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12</w:t>
        </w:r>
        <w:r w:rsidRPr="00DA4678">
          <w:rPr>
            <w:rFonts w:ascii="Times New Roman" w:hAnsi="Times New Roman"/>
            <w:webHidden/>
            <w:sz w:val="18"/>
            <w:szCs w:val="18"/>
          </w:rPr>
          <w:fldChar w:fldCharType="end"/>
        </w:r>
      </w:hyperlink>
    </w:p>
    <w:p w14:paraId="2C14D989" w14:textId="50AF8DA7"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76" w:history="1">
        <w:r w:rsidRPr="00DA4678">
          <w:rPr>
            <w:rStyle w:val="Hyperlink"/>
            <w:rFonts w:ascii="Times New Roman" w:hAnsi="Times New Roman"/>
            <w:sz w:val="18"/>
            <w:szCs w:val="18"/>
          </w:rPr>
          <w:t>5.1.</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Bendrosios pastabos</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_Toc210917576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12</w:t>
        </w:r>
        <w:r w:rsidRPr="00DA4678">
          <w:rPr>
            <w:rFonts w:ascii="Times New Roman" w:hAnsi="Times New Roman"/>
            <w:webHidden/>
            <w:sz w:val="18"/>
            <w:szCs w:val="18"/>
          </w:rPr>
          <w:fldChar w:fldCharType="end"/>
        </w:r>
      </w:hyperlink>
    </w:p>
    <w:p w14:paraId="36EA22FA" w14:textId="0931F929"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77" w:history="1">
        <w:r w:rsidRPr="00DA4678">
          <w:rPr>
            <w:rStyle w:val="Hyperlink"/>
            <w:rFonts w:ascii="Times New Roman" w:hAnsi="Times New Roman"/>
            <w:sz w:val="18"/>
            <w:szCs w:val="18"/>
          </w:rPr>
          <w:t>5.2.</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Nurodymai dėl konkrečių pozicijų</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_Toc210917577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13</w:t>
        </w:r>
        <w:r w:rsidRPr="00DA4678">
          <w:rPr>
            <w:rFonts w:ascii="Times New Roman" w:hAnsi="Times New Roman"/>
            <w:webHidden/>
            <w:sz w:val="18"/>
            <w:szCs w:val="18"/>
          </w:rPr>
          <w:fldChar w:fldCharType="end"/>
        </w:r>
      </w:hyperlink>
    </w:p>
    <w:p w14:paraId="4F4CB23A" w14:textId="4AC65962"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78" w:history="1">
        <w:r w:rsidRPr="00DA4678">
          <w:rPr>
            <w:rStyle w:val="Hyperlink"/>
            <w:rFonts w:ascii="Times New Roman" w:hAnsi="Times New Roman"/>
            <w:sz w:val="18"/>
            <w:szCs w:val="18"/>
          </w:rPr>
          <w:t>6.</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C 22.00. Rinkos rizika. Standartizuoti metodai, taikomi užsienio valiutos kurso rizikai (MKR SA FX)</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_Toc210917578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15</w:t>
        </w:r>
        <w:r w:rsidRPr="00DA4678">
          <w:rPr>
            <w:rFonts w:ascii="Times New Roman" w:hAnsi="Times New Roman"/>
            <w:webHidden/>
            <w:sz w:val="18"/>
            <w:szCs w:val="18"/>
          </w:rPr>
          <w:fldChar w:fldCharType="end"/>
        </w:r>
      </w:hyperlink>
    </w:p>
    <w:p w14:paraId="4C5E3A01" w14:textId="7DECDD26"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79" w:history="1">
        <w:r w:rsidRPr="00DA4678">
          <w:rPr>
            <w:rStyle w:val="Hyperlink"/>
            <w:rFonts w:ascii="Times New Roman" w:hAnsi="Times New Roman"/>
            <w:sz w:val="18"/>
            <w:szCs w:val="18"/>
          </w:rPr>
          <w:t>6.1.</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Bendrosios pastabos</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_Toc210917579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15</w:t>
        </w:r>
        <w:r w:rsidRPr="00DA4678">
          <w:rPr>
            <w:rFonts w:ascii="Times New Roman" w:hAnsi="Times New Roman"/>
            <w:webHidden/>
            <w:sz w:val="18"/>
            <w:szCs w:val="18"/>
          </w:rPr>
          <w:fldChar w:fldCharType="end"/>
        </w:r>
      </w:hyperlink>
    </w:p>
    <w:p w14:paraId="55E41785" w14:textId="522CBD35"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80" w:history="1">
        <w:r w:rsidRPr="00DA4678">
          <w:rPr>
            <w:rStyle w:val="Hyperlink"/>
            <w:rFonts w:ascii="Times New Roman" w:hAnsi="Times New Roman"/>
            <w:sz w:val="18"/>
            <w:szCs w:val="18"/>
          </w:rPr>
          <w:t>6.2.</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Nurodymai dėl konkrečių pozicijų</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_Toc210917580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15</w:t>
        </w:r>
        <w:r w:rsidRPr="00DA4678">
          <w:rPr>
            <w:rFonts w:ascii="Times New Roman" w:hAnsi="Times New Roman"/>
            <w:webHidden/>
            <w:sz w:val="18"/>
            <w:szCs w:val="18"/>
          </w:rPr>
          <w:fldChar w:fldCharType="end"/>
        </w:r>
      </w:hyperlink>
    </w:p>
    <w:p w14:paraId="2A673D62" w14:textId="6DB8384B"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81" w:history="1">
        <w:r w:rsidRPr="00DA4678">
          <w:rPr>
            <w:rStyle w:val="Hyperlink"/>
            <w:rFonts w:ascii="Times New Roman" w:hAnsi="Times New Roman"/>
            <w:sz w:val="18"/>
            <w:szCs w:val="18"/>
          </w:rPr>
          <w:t>7.</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C 23.00. Rinkos rizika. Standartizuoti metodai, taikomi biržos prekėms (MKR SA COM</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_Toc210917581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18</w:t>
        </w:r>
        <w:r w:rsidRPr="00DA4678">
          <w:rPr>
            <w:rFonts w:ascii="Times New Roman" w:hAnsi="Times New Roman"/>
            <w:webHidden/>
            <w:sz w:val="18"/>
            <w:szCs w:val="18"/>
          </w:rPr>
          <w:fldChar w:fldCharType="end"/>
        </w:r>
      </w:hyperlink>
    </w:p>
    <w:p w14:paraId="55AA99F0" w14:textId="4B6ED150"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82" w:history="1">
        <w:r w:rsidRPr="00DA4678">
          <w:rPr>
            <w:rStyle w:val="Hyperlink"/>
            <w:rFonts w:ascii="Times New Roman" w:hAnsi="Times New Roman"/>
            <w:sz w:val="18"/>
            <w:szCs w:val="18"/>
          </w:rPr>
          <w:t>7.1.</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Bendrosios pastabos</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_Toc210917582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18</w:t>
        </w:r>
        <w:r w:rsidRPr="00DA4678">
          <w:rPr>
            <w:rFonts w:ascii="Times New Roman" w:hAnsi="Times New Roman"/>
            <w:webHidden/>
            <w:sz w:val="18"/>
            <w:szCs w:val="18"/>
          </w:rPr>
          <w:fldChar w:fldCharType="end"/>
        </w:r>
      </w:hyperlink>
    </w:p>
    <w:p w14:paraId="0CE07504" w14:textId="7C04671E"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83" w:history="1">
        <w:r w:rsidRPr="00DA4678">
          <w:rPr>
            <w:rStyle w:val="Hyperlink"/>
            <w:rFonts w:ascii="Times New Roman" w:hAnsi="Times New Roman"/>
            <w:sz w:val="18"/>
            <w:szCs w:val="18"/>
          </w:rPr>
          <w:t>7.2.</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Nurodymai dėl konkrečių pozicijų</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_Toc210917583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18</w:t>
        </w:r>
        <w:r w:rsidRPr="00DA4678">
          <w:rPr>
            <w:rFonts w:ascii="Times New Roman" w:hAnsi="Times New Roman"/>
            <w:webHidden/>
            <w:sz w:val="18"/>
            <w:szCs w:val="18"/>
          </w:rPr>
          <w:fldChar w:fldCharType="end"/>
        </w:r>
      </w:hyperlink>
    </w:p>
    <w:p w14:paraId="19F5D25A" w14:textId="38A39A0F"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84" w:history="1">
        <w:r w:rsidRPr="00DA4678">
          <w:rPr>
            <w:rStyle w:val="Hyperlink"/>
            <w:rFonts w:ascii="Times New Roman" w:hAnsi="Times New Roman"/>
            <w:sz w:val="18"/>
            <w:szCs w:val="18"/>
          </w:rPr>
          <w:t>8.</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C 24.00. Rinkos rizikos vidaus modelis (MKR IM)</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_Toc210917584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20</w:t>
        </w:r>
        <w:r w:rsidRPr="00DA4678">
          <w:rPr>
            <w:rFonts w:ascii="Times New Roman" w:hAnsi="Times New Roman"/>
            <w:webHidden/>
            <w:sz w:val="18"/>
            <w:szCs w:val="18"/>
          </w:rPr>
          <w:fldChar w:fldCharType="end"/>
        </w:r>
      </w:hyperlink>
    </w:p>
    <w:p w14:paraId="06938D82" w14:textId="3277DF21"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85" w:history="1">
        <w:r w:rsidRPr="00DA4678">
          <w:rPr>
            <w:rStyle w:val="Hyperlink"/>
            <w:rFonts w:ascii="Times New Roman" w:hAnsi="Times New Roman"/>
            <w:sz w:val="18"/>
            <w:szCs w:val="18"/>
          </w:rPr>
          <w:t>8.1.</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Bendrosios pastabos</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_Toc210917585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20</w:t>
        </w:r>
        <w:r w:rsidRPr="00DA4678">
          <w:rPr>
            <w:rFonts w:ascii="Times New Roman" w:hAnsi="Times New Roman"/>
            <w:webHidden/>
            <w:sz w:val="18"/>
            <w:szCs w:val="18"/>
          </w:rPr>
          <w:fldChar w:fldCharType="end"/>
        </w:r>
      </w:hyperlink>
    </w:p>
    <w:p w14:paraId="65A85A4A" w14:textId="5FB922CC" w:rsidR="004069B8" w:rsidRPr="00DA4678" w:rsidRDefault="004069B8">
      <w:pPr>
        <w:pStyle w:val="TOC2"/>
        <w:rPr>
          <w:rFonts w:ascii="Times New Roman" w:eastAsiaTheme="minorEastAsia" w:hAnsi="Times New Roman"/>
          <w:b w:val="0"/>
          <w:smallCaps w:val="0"/>
          <w:kern w:val="2"/>
          <w:sz w:val="18"/>
          <w:szCs w:val="18"/>
          <w:lang w:val="en-IE" w:eastAsia="en-IE"/>
          <w14:ligatures w14:val="standardContextual"/>
        </w:rPr>
      </w:pPr>
      <w:hyperlink w:anchor="_Toc210917586" w:history="1">
        <w:r w:rsidRPr="00DA4678">
          <w:rPr>
            <w:rStyle w:val="Hyperlink"/>
            <w:rFonts w:ascii="Times New Roman" w:hAnsi="Times New Roman"/>
            <w:sz w:val="18"/>
            <w:szCs w:val="18"/>
          </w:rPr>
          <w:t>8.2.</w:t>
        </w:r>
        <w:r w:rsidRPr="00DA4678">
          <w:rPr>
            <w:rFonts w:ascii="Times New Roman" w:eastAsiaTheme="minorEastAsia" w:hAnsi="Times New Roman"/>
            <w:b w:val="0"/>
            <w:smallCaps w:val="0"/>
            <w:kern w:val="2"/>
            <w:sz w:val="18"/>
            <w:szCs w:val="18"/>
            <w:lang w:val="en-IE" w:eastAsia="en-IE"/>
            <w14:ligatures w14:val="standardContextual"/>
          </w:rPr>
          <w:tab/>
        </w:r>
        <w:r w:rsidRPr="00DA4678">
          <w:rPr>
            <w:rStyle w:val="Hyperlink"/>
            <w:rFonts w:ascii="Times New Roman" w:hAnsi="Times New Roman"/>
            <w:sz w:val="18"/>
            <w:szCs w:val="18"/>
          </w:rPr>
          <w:t>Nurodymai dėl konkrečių pozicijų</w:t>
        </w:r>
        <w:r w:rsidRPr="00DA4678">
          <w:rPr>
            <w:rFonts w:ascii="Times New Roman" w:hAnsi="Times New Roman"/>
            <w:webHidden/>
            <w:sz w:val="18"/>
            <w:szCs w:val="18"/>
          </w:rPr>
          <w:tab/>
        </w:r>
        <w:r w:rsidRPr="00DA4678">
          <w:rPr>
            <w:rFonts w:ascii="Times New Roman" w:hAnsi="Times New Roman"/>
            <w:webHidden/>
            <w:sz w:val="18"/>
            <w:szCs w:val="18"/>
          </w:rPr>
          <w:fldChar w:fldCharType="begin"/>
        </w:r>
        <w:r w:rsidRPr="00DA4678">
          <w:rPr>
            <w:rFonts w:ascii="Times New Roman" w:hAnsi="Times New Roman"/>
            <w:webHidden/>
            <w:sz w:val="18"/>
            <w:szCs w:val="18"/>
          </w:rPr>
          <w:instrText xml:space="preserve"> PAGEREF _Toc210917586 \h </w:instrText>
        </w:r>
        <w:r w:rsidRPr="00DA4678">
          <w:rPr>
            <w:rFonts w:ascii="Times New Roman" w:hAnsi="Times New Roman"/>
            <w:webHidden/>
            <w:sz w:val="18"/>
            <w:szCs w:val="18"/>
          </w:rPr>
        </w:r>
        <w:r w:rsidRPr="00DA4678">
          <w:rPr>
            <w:rFonts w:ascii="Times New Roman" w:hAnsi="Times New Roman"/>
            <w:webHidden/>
            <w:sz w:val="18"/>
            <w:szCs w:val="18"/>
          </w:rPr>
          <w:fldChar w:fldCharType="separate"/>
        </w:r>
        <w:r w:rsidRPr="00DA4678">
          <w:rPr>
            <w:rFonts w:ascii="Times New Roman" w:hAnsi="Times New Roman"/>
            <w:webHidden/>
            <w:sz w:val="18"/>
            <w:szCs w:val="18"/>
          </w:rPr>
          <w:t>20</w:t>
        </w:r>
        <w:r w:rsidRPr="00DA4678">
          <w:rPr>
            <w:rFonts w:ascii="Times New Roman" w:hAnsi="Times New Roman"/>
            <w:webHidden/>
            <w:sz w:val="18"/>
            <w:szCs w:val="18"/>
          </w:rPr>
          <w:fldChar w:fldCharType="end"/>
        </w:r>
      </w:hyperlink>
    </w:p>
    <w:p w14:paraId="4325A1DC" w14:textId="069CAD37"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917559"/>
      <w:r>
        <w:rPr>
          <w:rFonts w:ascii="Times New Roman" w:hAnsi="Times New Roman"/>
        </w:rPr>
        <w:lastRenderedPageBreak/>
        <w:t>I DALIS.</w:t>
      </w:r>
      <w:bookmarkEnd w:id="2"/>
      <w:r>
        <w:rPr>
          <w:rFonts w:ascii="Times New Roman" w:hAnsi="Times New Roman"/>
        </w:rPr>
        <w:t xml:space="preserve"> BENDRIEJI NURODYMAI</w:t>
      </w:r>
      <w:bookmarkEnd w:id="3"/>
      <w:bookmarkEnd w:id="4"/>
      <w:bookmarkEnd w:id="5"/>
    </w:p>
    <w:p w14:paraId="2B1DE452" w14:textId="4E7250BE"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917560"/>
      <w:r>
        <w:rPr>
          <w:rFonts w:ascii="Times New Roman" w:hAnsi="Times New Roman"/>
          <w:sz w:val="24"/>
          <w:u w:val="none"/>
        </w:rPr>
        <w:t>1</w:t>
      </w:r>
      <w:r w:rsidR="00DA4678">
        <w:rPr>
          <w:rFonts w:ascii="Times New Roman" w:hAnsi="Times New Roman"/>
          <w:sz w:val="24"/>
          <w:u w:val="none"/>
        </w:rPr>
        <w:t xml:space="preserve">. </w:t>
      </w:r>
      <w:r>
        <w:rPr>
          <w:rFonts w:ascii="Times New Roman" w:hAnsi="Times New Roman"/>
          <w:sz w:val="24"/>
          <w:u w:val="none"/>
        </w:rPr>
        <w:t>TVARKA</w:t>
      </w:r>
      <w:bookmarkEnd w:id="6"/>
      <w:bookmarkEnd w:id="7"/>
      <w:bookmarkEnd w:id="8"/>
    </w:p>
    <w:p w14:paraId="691FE691" w14:textId="17887E3F"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64038399"/>
      <w:bookmarkStart w:id="12" w:name="_Toc294018834"/>
      <w:bookmarkStart w:id="13" w:name="_Toc210917561"/>
      <w:r>
        <w:rPr>
          <w:rFonts w:ascii="Times New Roman" w:hAnsi="Times New Roman"/>
          <w:sz w:val="24"/>
          <w:u w:val="none"/>
        </w:rPr>
        <w:t>1.1</w:t>
      </w:r>
      <w:r w:rsidR="00DA4678">
        <w:rPr>
          <w:rFonts w:ascii="Times New Roman" w:hAnsi="Times New Roman"/>
          <w:sz w:val="24"/>
          <w:u w:val="none"/>
        </w:rPr>
        <w:t xml:space="preserve">. </w:t>
      </w:r>
      <w:r>
        <w:rPr>
          <w:rFonts w:ascii="Times New Roman" w:hAnsi="Times New Roman"/>
          <w:sz w:val="24"/>
          <w:u w:val="none"/>
        </w:rPr>
        <w:t>Numeravimo tvarka</w:t>
      </w:r>
      <w:bookmarkEnd w:id="9"/>
      <w:bookmarkEnd w:id="10"/>
      <w:bookmarkEnd w:id="13"/>
    </w:p>
    <w:p w14:paraId="07DD29A3" w14:textId="3ADB010A" w:rsidR="002648B0" w:rsidRPr="002D60D7" w:rsidRDefault="002648B0" w:rsidP="00E172EA">
      <w:pPr>
        <w:pStyle w:val="InstructionsText2"/>
        <w:numPr>
          <w:ilvl w:val="0"/>
          <w:numId w:val="29"/>
        </w:numPr>
        <w:suppressAutoHyphens/>
      </w:pPr>
      <w:r>
        <w:t>Dokumente nurodant šablonų skiltis, eilutes ir laukelius taikoma 2–5 punktuose nurodyta žymėjimo tvarka. Tie skaitiniai kodai plačiai naudojami patvirtinimo taisyklėse.</w:t>
      </w:r>
    </w:p>
    <w:p w14:paraId="4A930757" w14:textId="35786EEA" w:rsidR="005643EA" w:rsidRPr="002D60D7" w:rsidRDefault="002648B0" w:rsidP="00E172EA">
      <w:pPr>
        <w:pStyle w:val="InstructionsText2"/>
        <w:numPr>
          <w:ilvl w:val="0"/>
          <w:numId w:val="29"/>
        </w:numPr>
        <w:suppressAutoHyphens/>
      </w:pPr>
      <w:r>
        <w:t>Nurodymuose laikomasi šios bendros žymėjimo tvarkos: {Šablonas; Eilutė; Skiltis}.</w:t>
      </w:r>
    </w:p>
    <w:p w14:paraId="058D6622" w14:textId="0D8EC818" w:rsidR="002648B0" w:rsidRPr="002D60D7" w:rsidRDefault="002648B0" w:rsidP="00E172EA">
      <w:pPr>
        <w:pStyle w:val="InstructionsText2"/>
        <w:numPr>
          <w:ilvl w:val="0"/>
          <w:numId w:val="29"/>
        </w:numPr>
        <w:suppressAutoHyphens/>
      </w:pPr>
      <w:r>
        <w:t>Kai tvirtinimas atliekamas šablone ir naudojami tik to šablono duomenų vienetai, šablonas nenurodomas: {Eilutė; Skiltis}.</w:t>
      </w:r>
    </w:p>
    <w:p w14:paraId="1C93CB72" w14:textId="27E06172" w:rsidR="005643EA" w:rsidRPr="002D60D7" w:rsidRDefault="002648B0" w:rsidP="00E172EA">
      <w:pPr>
        <w:pStyle w:val="InstructionsText2"/>
        <w:numPr>
          <w:ilvl w:val="0"/>
          <w:numId w:val="29"/>
        </w:numPr>
        <w:suppressAutoHyphens/>
      </w:pPr>
      <w:r>
        <w:t>Kai šabloną sudaro tik viena skiltis, nurodomos tik eilutės: {Šablonas; Eilutė}.</w:t>
      </w:r>
    </w:p>
    <w:p w14:paraId="6CF08484" w14:textId="337CEEA0" w:rsidR="002648B0" w:rsidRPr="002D60D7" w:rsidRDefault="002648B0" w:rsidP="00E172EA">
      <w:pPr>
        <w:pStyle w:val="InstructionsText2"/>
        <w:numPr>
          <w:ilvl w:val="0"/>
          <w:numId w:val="29"/>
        </w:numPr>
        <w:suppressAutoHyphens/>
      </w:pPr>
      <w:r>
        <w:t>Žvaigždutės ženklas naudojamas, kai norima pažymėti, kad tvirtinamos anksčiau nurodytos eilutės arba skiltys.</w:t>
      </w:r>
    </w:p>
    <w:p w14:paraId="6218AD51" w14:textId="2ACD1D6A"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917562"/>
      <w:r>
        <w:rPr>
          <w:rFonts w:ascii="Times New Roman" w:hAnsi="Times New Roman"/>
          <w:sz w:val="24"/>
          <w:u w:val="none"/>
        </w:rPr>
        <w:t>1.2</w:t>
      </w:r>
      <w:r w:rsidR="00DA4678">
        <w:rPr>
          <w:rFonts w:ascii="Times New Roman" w:hAnsi="Times New Roman"/>
          <w:sz w:val="24"/>
          <w:u w:val="none"/>
        </w:rPr>
        <w:t xml:space="preserve">. </w:t>
      </w:r>
      <w:r>
        <w:rPr>
          <w:rFonts w:ascii="Times New Roman" w:hAnsi="Times New Roman"/>
          <w:sz w:val="24"/>
          <w:u w:val="none"/>
        </w:rPr>
        <w:t>Ženklų tvarka</w:t>
      </w:r>
      <w:bookmarkEnd w:id="11"/>
      <w:bookmarkEnd w:id="12"/>
      <w:bookmarkEnd w:id="14"/>
      <w:bookmarkEnd w:id="15"/>
      <w:bookmarkEnd w:id="16"/>
    </w:p>
    <w:p w14:paraId="67BDF5E2" w14:textId="769DF459" w:rsidR="002648B0" w:rsidRDefault="002648B0" w:rsidP="00E172EA">
      <w:pPr>
        <w:pStyle w:val="InstructionsText2"/>
        <w:numPr>
          <w:ilvl w:val="0"/>
          <w:numId w:val="29"/>
        </w:numPr>
        <w:suppressAutoHyphens/>
      </w:pPr>
      <w:r>
        <w:t>Visos sumos, dėl kurių nuosavos lėšos arba kapitalo reikalavimai padidėja, nurodomos teigiamu skaičiumi. Priešingai – visos sumos, dėl kurių bendra nuosavų lėšų suma arba kapitalo reikalavimai mažėja, nurodomos neigiamu skaičiumi. Prieš straipsnio pavadinimą įrašytas minuso ženklas (–) reiškia prielaidą, kad tame straipsnyje teigiamas skaičius nebus rašomas.</w:t>
      </w:r>
    </w:p>
    <w:p w14:paraId="21FCA11B" w14:textId="3C9EDBF2" w:rsidR="00843119" w:rsidRPr="00843119"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917563"/>
      <w:r>
        <w:rPr>
          <w:rFonts w:ascii="Times New Roman" w:hAnsi="Times New Roman"/>
          <w:sz w:val="24"/>
          <w:u w:val="none"/>
        </w:rPr>
        <w:t>1.3</w:t>
      </w:r>
      <w:r w:rsidR="00DA4678">
        <w:rPr>
          <w:rFonts w:ascii="Times New Roman" w:hAnsi="Times New Roman"/>
          <w:sz w:val="24"/>
          <w:u w:val="none"/>
        </w:rPr>
        <w:t xml:space="preserve">. </w:t>
      </w:r>
      <w:r>
        <w:rPr>
          <w:rFonts w:ascii="Times New Roman" w:hAnsi="Times New Roman"/>
          <w:sz w:val="24"/>
          <w:u w:val="none"/>
        </w:rPr>
        <w:t>Nuorodos į Reglamentą (ES) Nr. 575/2013</w:t>
      </w:r>
      <w:bookmarkEnd w:id="17"/>
    </w:p>
    <w:p w14:paraId="59845808" w14:textId="11AE211B" w:rsidR="00843119" w:rsidRPr="002D60D7" w:rsidRDefault="00843119" w:rsidP="00E172EA">
      <w:pPr>
        <w:pStyle w:val="InstructionsText2"/>
        <w:numPr>
          <w:ilvl w:val="0"/>
          <w:numId w:val="29"/>
        </w:numPr>
        <w:suppressAutoHyphens/>
      </w:pPr>
      <w:r>
        <w:t xml:space="preserve">Visos nuorodos į Reglamento (ES) Nr. 575/2013 325–377 straipsnius laikomos nuorodomis į 2019 m. birželio 26 d. galiojusią to reglamento redakciją. </w:t>
      </w:r>
    </w:p>
    <w:p w14:paraId="178F0A93" w14:textId="77777777"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4C445F">
      <w:pPr>
        <w:suppressAutoHyphens/>
        <w:rPr>
          <w:rFonts w:ascii="Times New Roman" w:hAnsi="Times New Roman"/>
          <w:sz w:val="24"/>
        </w:rPr>
      </w:pPr>
    </w:p>
    <w:p w14:paraId="5C0CD8F3" w14:textId="25D58192" w:rsidR="00AC6255" w:rsidRPr="002D60D7"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917564"/>
      <w:r>
        <w:rPr>
          <w:rFonts w:ascii="Times New Roman" w:hAnsi="Times New Roman"/>
        </w:rPr>
        <w:t>II DALIS. SU ŠABLONU SUSIJĘ NURODYMAI</w:t>
      </w:r>
      <w:bookmarkEnd w:id="18"/>
      <w:bookmarkEnd w:id="19"/>
      <w:r>
        <w:rPr>
          <w:rFonts w:ascii="Times New Roman" w:hAnsi="Times New Roman"/>
        </w:rPr>
        <w:t>. RINKOS RIZIKOS ŠABLONAI</w:t>
      </w:r>
      <w:bookmarkEnd w:id="0"/>
      <w:bookmarkEnd w:id="1"/>
      <w:bookmarkEnd w:id="20"/>
    </w:p>
    <w:p w14:paraId="73EBDC1C" w14:textId="2EF76A90" w:rsidR="000B0B09" w:rsidRPr="002D60D7"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917565"/>
      <w:r>
        <w:rPr>
          <w:rFonts w:ascii="Times New Roman" w:hAnsi="Times New Roman"/>
          <w:sz w:val="24"/>
          <w:u w:val="none"/>
        </w:rPr>
        <w:t>1.</w:t>
      </w:r>
      <w:r w:rsidRPr="00DA4678">
        <w:rPr>
          <w:u w:val="none"/>
        </w:rPr>
        <w:tab/>
      </w:r>
      <w:bookmarkEnd w:id="21"/>
      <w:bookmarkEnd w:id="22"/>
      <w:bookmarkEnd w:id="23"/>
      <w:bookmarkEnd w:id="24"/>
      <w:bookmarkEnd w:id="25"/>
      <w:bookmarkEnd w:id="26"/>
      <w:r>
        <w:rPr>
          <w:rFonts w:ascii="Times New Roman" w:hAnsi="Times New Roman"/>
          <w:sz w:val="24"/>
        </w:rPr>
        <w:t>Bendrosios pastabos</w:t>
      </w:r>
      <w:bookmarkEnd w:id="27"/>
    </w:p>
    <w:p w14:paraId="3A680559" w14:textId="018BA68A" w:rsidR="000B0B09" w:rsidRPr="002D60D7" w:rsidRDefault="000B0B09" w:rsidP="00E172EA">
      <w:pPr>
        <w:pStyle w:val="InstructionsText2"/>
        <w:numPr>
          <w:ilvl w:val="0"/>
          <w:numId w:val="29"/>
        </w:numPr>
        <w:suppressAutoHyphens/>
      </w:pPr>
      <w:bookmarkStart w:id="28" w:name="_Toc308426672"/>
      <w:r>
        <w:t xml:space="preserve">Šie nurodymai skirti šablonams, kuriuose nurodomas nuosavų lėšų reikalavimų skaičiavimas pagal standartizuotą metodą užsienio valiutos kurso rizikai (MKR SA FX), biržos prekių kainos rizikai (MKR SA COM), palūkanų normų rizikai (MKR SA TDI, MKR SA SEC, MKR SA CTP) ir nuosavybės vertybinių popierių rizikai (MKR SA EQU) padengti. Taip pat šioje dalyje pateikiami nurodymai, kaip šablone nurodyti nuosavų lėšų reikalavimų skaičiavimą pagal vidaus modelių metodą (MKR IM). </w:t>
      </w:r>
    </w:p>
    <w:p w14:paraId="43A205D1" w14:textId="5DC446A2" w:rsidR="000B0B09" w:rsidRPr="002D60D7" w:rsidRDefault="000B0B09" w:rsidP="00E172EA">
      <w:pPr>
        <w:pStyle w:val="InstructionsText2"/>
        <w:numPr>
          <w:ilvl w:val="0"/>
          <w:numId w:val="29"/>
        </w:numPr>
        <w:suppressAutoHyphens/>
      </w:pPr>
      <w:r>
        <w:t xml:space="preserve">Skolos priemonių, kuriomis prekiaujama, arba nuosavybės vertybinių popierių (arba skolos ar nuosavybės vertybinių popierių išvestinių finansinių priemonių) pozicijų rizika, siekiant apskaičiuoti, kiek kapitalo reikia tai pozicijų rizikai padengti, yra suskirstoma į du komponentus. Pirmasis komponentas – specifinė rizika, t. y. atitinkamos priemonės kainos pasikeitimo rizika dėl veiksnių, susijusių su jos emitentu, arba (išvestinės finansinės priemonės atveju) rizika, susijusi su pagrindinės priemonės emitentu. Antrasis komponentas – bendroji rizika, t. y. tokia priemonės kainos pasikeitimo rizika dėl palūkanų normos pasikeitimo (skolos priemonės, kuria prekiaujama, arba skolos išvestinės finansinės priemonės atveju) arba dėl bendrų visos nuosavybės vertybinių popierių rinkos svyravimų, nesusijusių su jokiais specifiniais atskirų vertybinių popierių ypatumais (nuosavybės vertybinių popierių ar nuosavybės vertybinių popierių išvestinių finansinių priemonių atveju). </w:t>
      </w:r>
      <w:bookmarkEnd w:id="28"/>
      <w:r>
        <w:t xml:space="preserve">Bendra tvarka, taikytina specifinėms priemonėms ir užskaitos procedūroms, pateikiama Reglamento (ES) Nr. 575/2013 326–333 straipsniuose. </w:t>
      </w:r>
    </w:p>
    <w:p w14:paraId="39C5FEA4" w14:textId="3A15092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917566"/>
      <w:r>
        <w:rPr>
          <w:rFonts w:ascii="Times New Roman" w:hAnsi="Times New Roman"/>
          <w:sz w:val="24"/>
          <w:u w:val="none"/>
        </w:rPr>
        <w:t>2.</w:t>
      </w:r>
      <w:r w:rsidRPr="00DA4678">
        <w:rPr>
          <w:u w:val="none"/>
        </w:rPr>
        <w:tab/>
      </w:r>
      <w:r>
        <w:rPr>
          <w:rFonts w:ascii="Times New Roman" w:hAnsi="Times New Roman"/>
          <w:sz w:val="24"/>
        </w:rPr>
        <w:t>C 18.00. Rinkos rizika. Standartizuotas metodas, taikomas skolos priemonių, kuriomis prekiaujama, pozicijų rizikai</w:t>
      </w:r>
      <w:bookmarkEnd w:id="29"/>
      <w:bookmarkEnd w:id="30"/>
      <w:bookmarkEnd w:id="31"/>
      <w:bookmarkEnd w:id="32"/>
      <w:bookmarkEnd w:id="33"/>
      <w:bookmarkEnd w:id="34"/>
      <w:r>
        <w:rPr>
          <w:rFonts w:ascii="Times New Roman" w:hAnsi="Times New Roman"/>
          <w:sz w:val="24"/>
        </w:rPr>
        <w:t xml:space="preserve"> (MKR SA TDI)</w:t>
      </w:r>
      <w:bookmarkEnd w:id="35"/>
      <w:bookmarkEnd w:id="36"/>
    </w:p>
    <w:p w14:paraId="7BC699A3" w14:textId="5102524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917567"/>
      <w:r>
        <w:rPr>
          <w:rFonts w:ascii="Times New Roman" w:hAnsi="Times New Roman"/>
          <w:sz w:val="24"/>
          <w:u w:val="none"/>
        </w:rPr>
        <w:t>2.1.</w:t>
      </w:r>
      <w:r w:rsidRPr="00DA4678">
        <w:rPr>
          <w:u w:val="none"/>
        </w:rPr>
        <w:tab/>
      </w:r>
      <w:r>
        <w:rPr>
          <w:rFonts w:ascii="Times New Roman" w:hAnsi="Times New Roman"/>
          <w:sz w:val="24"/>
        </w:rPr>
        <w:t>Bendrosios pastabos</w:t>
      </w:r>
      <w:bookmarkEnd w:id="37"/>
      <w:bookmarkEnd w:id="38"/>
      <w:bookmarkEnd w:id="39"/>
      <w:bookmarkEnd w:id="40"/>
      <w:bookmarkEnd w:id="41"/>
      <w:bookmarkEnd w:id="42"/>
      <w:bookmarkEnd w:id="43"/>
    </w:p>
    <w:p w14:paraId="0D010E09" w14:textId="7FC9D177" w:rsidR="000B0B09" w:rsidRPr="002D60D7" w:rsidRDefault="000B0B09" w:rsidP="00E172EA">
      <w:pPr>
        <w:pStyle w:val="InstructionsText2"/>
        <w:numPr>
          <w:ilvl w:val="0"/>
          <w:numId w:val="29"/>
        </w:numPr>
        <w:suppressAutoHyphens/>
        <w:ind w:left="1349" w:hanging="357"/>
      </w:pPr>
      <w:r>
        <w:t>Šiame šablone pateikiami duomenys apie pozicijas ir su jomis susijusius nuosavų lėšų reikalavimus skolos priemonių, kuriomis prekiaujama, rizikos pozicijoms padengti, taikant standartizuotą metodą (Reglamento (ES) Nr. 575/2013 325 straipsnio 2 dalies a punktas). Skirtinga Reglamente (ES) Nr. 575/2013 numatyta rizika ir metodai išdėstomi eilutėmis. Specifinė rizika, susijusi su pozicijomis, įtrauktomis į MKR SA SEC ir MKR SA CTP šablonus, nurodoma tik MKR SA TDI bendrų sumų šablone. Šiuose šablonuose nurodomi nuosavų lėšų reikalavimai atitinkamai perkeliami į laukelį 0325;0060 (pakeitimai vertybiniais popieriais) ir 0330;0060 (CTP).</w:t>
      </w:r>
    </w:p>
    <w:p w14:paraId="7C8420A5" w14:textId="3BAA75DB" w:rsidR="000B0B09" w:rsidRPr="002D60D7" w:rsidRDefault="000B0B09" w:rsidP="00E172EA">
      <w:pPr>
        <w:pStyle w:val="InstructionsText2"/>
        <w:numPr>
          <w:ilvl w:val="0"/>
          <w:numId w:val="29"/>
        </w:numPr>
        <w:suppressAutoHyphens/>
      </w:pPr>
      <w:r>
        <w:t xml:space="preserve">Šis šablonas užpildomas atskirai nurodant bendrą sumą ir duomenis pagal iš anksto nustatytą šių valiutų sąrašą: </w:t>
      </w:r>
      <w:bookmarkStart w:id="44" w:name="OLE_LINK1"/>
      <w:r>
        <w:t>EUR, ALL, BGN, CZK, DKK, EGP, GBP, HUF, ISK, JPY, MKD, NOK, PLN, RON, RUB, RSD, SEK, CHF, TRY, UAH, USD</w:t>
      </w:r>
      <w:bookmarkEnd w:id="44"/>
      <w:r>
        <w:t xml:space="preserve"> ir dar vienas šablonas – visoms kitoms valiutoms. </w:t>
      </w:r>
    </w:p>
    <w:p w14:paraId="73E54EAD" w14:textId="5995991C"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917568"/>
      <w:r>
        <w:rPr>
          <w:rFonts w:ascii="Times New Roman" w:hAnsi="Times New Roman"/>
          <w:sz w:val="24"/>
          <w:u w:val="none"/>
        </w:rPr>
        <w:lastRenderedPageBreak/>
        <w:t>2.2.</w:t>
      </w:r>
      <w:r w:rsidRPr="00DA4678">
        <w:rPr>
          <w:u w:val="none"/>
        </w:rPr>
        <w:tab/>
      </w:r>
      <w:r>
        <w:rPr>
          <w:rFonts w:ascii="Times New Roman" w:hAnsi="Times New Roman"/>
          <w:sz w:val="24"/>
        </w:rPr>
        <w:t>Nurodymai dėl konkrečių pozicijų</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3B011B78" w14:textId="77777777" w:rsidTr="00672D2A">
        <w:trPr>
          <w:trHeight w:val="569"/>
        </w:trPr>
        <w:tc>
          <w:tcPr>
            <w:tcW w:w="8862" w:type="dxa"/>
            <w:gridSpan w:val="2"/>
            <w:shd w:val="clear" w:color="auto" w:fill="CCCCCC"/>
          </w:tcPr>
          <w:p w14:paraId="3F08430D"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Skiltys</w:t>
            </w:r>
          </w:p>
        </w:tc>
      </w:tr>
      <w:tr w:rsidR="000B0B09" w:rsidRPr="002D60D7" w14:paraId="2FB66B69" w14:textId="77777777" w:rsidTr="00672D2A">
        <w:tc>
          <w:tcPr>
            <w:tcW w:w="988" w:type="dxa"/>
          </w:tcPr>
          <w:p w14:paraId="3487AAF4"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POZICIJOS (ILGOSIOS IR TRUMPOSIOS)</w:t>
            </w:r>
          </w:p>
          <w:p w14:paraId="0C799784" w14:textId="3AE5C422" w:rsidR="000B0B09" w:rsidRPr="002D60D7" w:rsidRDefault="000B0B09" w:rsidP="004C445F">
            <w:pPr>
              <w:suppressAutoHyphens/>
              <w:rPr>
                <w:rFonts w:ascii="Times New Roman" w:hAnsi="Times New Roman"/>
                <w:sz w:val="24"/>
              </w:rPr>
            </w:pPr>
            <w:r>
              <w:rPr>
                <w:rFonts w:ascii="Times New Roman" w:hAnsi="Times New Roman"/>
                <w:sz w:val="24"/>
              </w:rPr>
              <w:t>Reglamento (ES) Nr. 575/2013 102 straipsnis ir 105 straipsnio 1 dalis. Tai bendrosios pozicijos, neatėmus priemonių, bet atskaičius platinamas pozicijas, kurias yra pasirašiusios ar kurių nupirkimą patvirtino trečiosios šalys pagal Reglamento (ES) Nr. 575/2013 345 straipsnio 1 dalies pirmos pastraipos antrą sakinį. Dėl pozicijų skirstymo į ilgąsias ir trumpąsias, kuris taikomas ir bendrosioms tų pozicijų sumoms, žr. to reglamento 328 straipsnio 2 dalį.</w:t>
            </w:r>
          </w:p>
        </w:tc>
      </w:tr>
      <w:tr w:rsidR="000B0B09" w:rsidRPr="002D60D7" w14:paraId="05A2AFD3" w14:textId="77777777" w:rsidTr="00672D2A">
        <w:tc>
          <w:tcPr>
            <w:tcW w:w="988" w:type="dxa"/>
          </w:tcPr>
          <w:p w14:paraId="0443676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GRYNOSIOS POZICIJOS (ILGOSIOS IR TRUMPOSIOS)</w:t>
            </w:r>
          </w:p>
          <w:p w14:paraId="38649486" w14:textId="2801053C" w:rsidR="000B0B09" w:rsidRPr="002D60D7" w:rsidRDefault="000B0B09" w:rsidP="004C445F">
            <w:pPr>
              <w:suppressAutoHyphens/>
              <w:rPr>
                <w:rFonts w:ascii="Times New Roman" w:hAnsi="Times New Roman"/>
                <w:sz w:val="24"/>
              </w:rPr>
            </w:pPr>
            <w:r>
              <w:rPr>
                <w:rFonts w:ascii="Times New Roman" w:hAnsi="Times New Roman"/>
                <w:sz w:val="24"/>
              </w:rPr>
              <w:t>Reglamento (ES) Nr. 575/2013 327–329 ir 334 straipsniai. Dėl pozicijų skirstymo į ilgąsias ir trumpąsias žr. to reglamento 328 straipsnio 2 dalį.</w:t>
            </w:r>
          </w:p>
        </w:tc>
      </w:tr>
      <w:tr w:rsidR="000B0B09" w:rsidRPr="002D60D7" w14:paraId="4C7D46FF" w14:textId="77777777" w:rsidTr="00672D2A">
        <w:tc>
          <w:tcPr>
            <w:tcW w:w="988" w:type="dxa"/>
          </w:tcPr>
          <w:p w14:paraId="4D3FEEA5"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KOEFICIENTAS</w:t>
            </w:r>
          </w:p>
          <w:p w14:paraId="76B658E5" w14:textId="79039FA9" w:rsidR="000B0B09" w:rsidRPr="002D60D7" w:rsidRDefault="000B0B09" w:rsidP="004C445F">
            <w:pPr>
              <w:suppressAutoHyphens/>
              <w:rPr>
                <w:rFonts w:ascii="Times New Roman" w:hAnsi="Times New Roman"/>
                <w:b/>
                <w:bCs/>
                <w:sz w:val="24"/>
                <w:u w:val="single"/>
              </w:rPr>
            </w:pPr>
            <w:r>
              <w:rPr>
                <w:rFonts w:ascii="Times New Roman" w:hAnsi="Times New Roman"/>
                <w:sz w:val="24"/>
              </w:rPr>
              <w:t>Tos grynosios pozicijos, kurioms pagal įvairius Reglamento (ES) Nr. 575/2013 trečios dalies IV antraštinės dalies 2 skyriuje nurodytus metodus yra taikomas kapitalo poreikio koeficientas.</w:t>
            </w:r>
          </w:p>
        </w:tc>
      </w:tr>
      <w:tr w:rsidR="000B0B09" w:rsidRPr="002D60D7" w14:paraId="017C014C" w14:textId="77777777" w:rsidTr="00672D2A">
        <w:tc>
          <w:tcPr>
            <w:tcW w:w="988" w:type="dxa"/>
          </w:tcPr>
          <w:p w14:paraId="7D197D9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w:t>
            </w:r>
          </w:p>
          <w:p w14:paraId="74F1F61F" w14:textId="12ADC1C1" w:rsidR="000B0B09" w:rsidRPr="002D60D7" w:rsidRDefault="000B0B09" w:rsidP="004C445F">
            <w:pPr>
              <w:suppressAutoHyphens/>
              <w:rPr>
                <w:rFonts w:ascii="Times New Roman" w:hAnsi="Times New Roman"/>
                <w:b/>
                <w:bCs/>
                <w:sz w:val="24"/>
                <w:u w:val="single"/>
              </w:rPr>
            </w:pPr>
            <w:r>
              <w:rPr>
                <w:rFonts w:ascii="Times New Roman" w:hAnsi="Times New Roman"/>
                <w:sz w:val="24"/>
              </w:rPr>
              <w:t>Atitinkamos pozicijos kapitalo poreikio koeficientas pagal Reglamento (ES) Nr. 575/2013 trečios dalies IV antraštinės dalies 2 skyrių.</w:t>
            </w:r>
          </w:p>
        </w:tc>
      </w:tr>
      <w:tr w:rsidR="000B0B09" w:rsidRPr="002D60D7" w14:paraId="56717AD1" w14:textId="77777777" w:rsidTr="00672D2A">
        <w:tc>
          <w:tcPr>
            <w:tcW w:w="988" w:type="dxa"/>
          </w:tcPr>
          <w:p w14:paraId="0D4A61CE"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14:paraId="2C4B0E54" w14:textId="5566DB68"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Reglamento (ES) Nr. 575/2013 92 straipsnio 6 dalies b punktas. Rezultatas, gautas nuosavų lėšų reikalavimus padauginus iš 12,5. </w:t>
            </w:r>
          </w:p>
        </w:tc>
      </w:tr>
    </w:tbl>
    <w:p w14:paraId="5A8176A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Į PREKYBOS KNYGĄ ĮTRAUKTOS SKOLOS PRIEMONĖS, KURIOMIS PREKIAUJAMA</w:t>
            </w:r>
          </w:p>
          <w:p w14:paraId="12C841B7" w14:textId="65FC0FB4" w:rsidR="000B0B09" w:rsidRPr="002D60D7" w:rsidRDefault="000B0B09" w:rsidP="004C445F">
            <w:pPr>
              <w:suppressAutoHyphens/>
              <w:rPr>
                <w:rFonts w:ascii="Times New Roman" w:hAnsi="Times New Roman"/>
                <w:sz w:val="24"/>
              </w:rPr>
            </w:pPr>
            <w:r>
              <w:rPr>
                <w:rFonts w:ascii="Times New Roman" w:hAnsi="Times New Roman"/>
                <w:sz w:val="24"/>
              </w:rPr>
              <w:t>Skolos priemonių, kuriomis prekiaujama, pozicijos prekybos knygoje ir jas atitinkantys nuosavų lėšų reikalavimai pozicijos rizikai padengti pagal Reglamento (ES) Nr. 575/2013 92 straipsnio 4 dalies b punkto i papunktį ir to reglamento trečios dalies IV antraštinės dalies 2 skyrių nurodomi pagal rizikos kategoriją, terminą ir taikomą metodą.</w:t>
            </w:r>
          </w:p>
        </w:tc>
      </w:tr>
      <w:tr w:rsidR="000B0B09" w:rsidRPr="002D60D7" w14:paraId="2272E4A5" w14:textId="77777777" w:rsidTr="00672D2A">
        <w:tc>
          <w:tcPr>
            <w:tcW w:w="987" w:type="dxa"/>
          </w:tcPr>
          <w:p w14:paraId="0642F5E6"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BENDROJI RIZIKA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Išvestinės finansinės priemonės</w:t>
            </w:r>
          </w:p>
          <w:p w14:paraId="06C530F0" w14:textId="7A78F919" w:rsidR="000B0B09" w:rsidRPr="002D60D7" w:rsidRDefault="000B0B09" w:rsidP="004C445F">
            <w:pPr>
              <w:suppressAutoHyphens/>
              <w:rPr>
                <w:rFonts w:ascii="Times New Roman" w:hAnsi="Times New Roman"/>
                <w:b/>
                <w:bCs/>
                <w:sz w:val="24"/>
                <w:u w:val="single"/>
              </w:rPr>
            </w:pPr>
            <w:r>
              <w:rPr>
                <w:rFonts w:ascii="Times New Roman" w:hAnsi="Times New Roman"/>
                <w:sz w:val="24"/>
              </w:rPr>
              <w:t>Išvestinės finansinės priemonės, įtraukiamos apskaičiuojant prekybos knygos pozicijų palūkanų normos riziką, jei taikoma, atsižvelgiant į Reglamento (ES) Nr. 575/2013 328–331 straipsnius.</w:t>
            </w:r>
          </w:p>
        </w:tc>
      </w:tr>
      <w:tr w:rsidR="000B0B09" w:rsidRPr="002D60D7" w14:paraId="36851B46" w14:textId="77777777" w:rsidTr="00672D2A">
        <w:tc>
          <w:tcPr>
            <w:tcW w:w="987" w:type="dxa"/>
          </w:tcPr>
          <w:p w14:paraId="6827F66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Kitas turtas ir įsipareigojimai</w:t>
            </w:r>
          </w:p>
          <w:p w14:paraId="665719C9" w14:textId="77777777" w:rsidR="000B0B09" w:rsidRPr="002D60D7" w:rsidRDefault="000B0B09" w:rsidP="004C445F">
            <w:pPr>
              <w:suppressAutoHyphens/>
              <w:rPr>
                <w:rFonts w:ascii="Times New Roman" w:hAnsi="Times New Roman"/>
                <w:b/>
                <w:bCs/>
                <w:sz w:val="24"/>
                <w:u w:val="single"/>
              </w:rPr>
            </w:pPr>
            <w:r>
              <w:rPr>
                <w:rFonts w:ascii="Times New Roman" w:hAnsi="Times New Roman"/>
                <w:sz w:val="24"/>
              </w:rPr>
              <w:lastRenderedPageBreak/>
              <w:t xml:space="preserve">Kitos priemonės, ne išvestinės finansinės priemonės, įtraukiamos apskaičiuojant prekybos knygos pozicijų palūkanų normos riziką.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0020–0200</w:t>
            </w:r>
          </w:p>
        </w:tc>
        <w:tc>
          <w:tcPr>
            <w:tcW w:w="7875" w:type="dxa"/>
          </w:tcPr>
          <w:p w14:paraId="1DE7E50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TERMINU PAGRĮSTAS METODAS</w:t>
            </w:r>
          </w:p>
          <w:p w14:paraId="644A7531" w14:textId="671AD153" w:rsidR="000B0B09" w:rsidRPr="002D60D7" w:rsidRDefault="000B0B09" w:rsidP="004C445F">
            <w:pPr>
              <w:suppressAutoHyphens/>
              <w:rPr>
                <w:rFonts w:ascii="Times New Roman" w:hAnsi="Times New Roman"/>
                <w:b/>
                <w:bCs/>
                <w:sz w:val="24"/>
                <w:u w:val="single"/>
              </w:rPr>
            </w:pPr>
            <w:r>
              <w:rPr>
                <w:rFonts w:ascii="Times New Roman" w:hAnsi="Times New Roman"/>
                <w:sz w:val="24"/>
              </w:rPr>
              <w:t>Skolos priemonių, kuriomis prekiaujama, pozicijos, kurioms taikomas terminu pagrįstas metodas, nurodytas Reglamento (ES) Nr. 575/2013 339 straipsnio 1–8 dalyse, ir atitinkami nuosavų lėšų reikalavimai, apskaičiuoti pagal to reglamento 339 straipsnio 9 dalį. Pozicija suskirstoma į 1, 2 ir 3 zonas, o tos zonos suskirstomos pagal priemonių terminą.</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BENDROJI RIZIKA TRUKME PAGRĮSTAS METODAS</w:t>
            </w:r>
          </w:p>
          <w:p w14:paraId="08171DB1" w14:textId="5B3E8AB1" w:rsidR="000B0B09" w:rsidRPr="002D60D7" w:rsidRDefault="000B0B09" w:rsidP="004C445F">
            <w:pPr>
              <w:suppressAutoHyphens/>
              <w:rPr>
                <w:rFonts w:ascii="Times New Roman" w:hAnsi="Times New Roman"/>
                <w:b/>
                <w:bCs/>
                <w:sz w:val="24"/>
                <w:u w:val="single"/>
              </w:rPr>
            </w:pPr>
            <w:r>
              <w:rPr>
                <w:rFonts w:ascii="Times New Roman" w:hAnsi="Times New Roman"/>
                <w:sz w:val="24"/>
              </w:rPr>
              <w:t>Skolos priemonių, kuriomis prekiaujama, pozicijos, kurioms taikomas įsipareigojimų trukme pagrįstas metodas, nurodytas Reglamento (ES) Nr. 575/2013 340 straipsnio 1–6 dalyse, ir atitinkami nuosavų lėšų reikalavimai, apskaičiuoti pagal to reglamento 340 straipsnio 7 dalį. Pozicija suskirstoma į 1, 2 ir 3 zonas.</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SPECIFINĖ RIZIKA</w:t>
            </w:r>
          </w:p>
          <w:p w14:paraId="29C6E3D0" w14:textId="77777777" w:rsidR="000B0B09" w:rsidRPr="002D60D7" w:rsidRDefault="000B0B09" w:rsidP="004C445F">
            <w:pPr>
              <w:suppressAutoHyphens/>
              <w:rPr>
                <w:rFonts w:ascii="Times New Roman" w:hAnsi="Times New Roman"/>
                <w:sz w:val="24"/>
              </w:rPr>
            </w:pPr>
            <w:r>
              <w:rPr>
                <w:rFonts w:ascii="Times New Roman" w:hAnsi="Times New Roman"/>
                <w:sz w:val="24"/>
              </w:rPr>
              <w:t xml:space="preserve">0251, 0325 ir 0330 eilutėse nurodytų reikšmių suma. </w:t>
            </w:r>
          </w:p>
          <w:p w14:paraId="4E1E5CA2" w14:textId="0C1E6FCB" w:rsidR="000B0B09" w:rsidRPr="002D60D7" w:rsidRDefault="000B0B09" w:rsidP="004C445F">
            <w:pPr>
              <w:suppressAutoHyphens/>
              <w:rPr>
                <w:rFonts w:ascii="Times New Roman" w:hAnsi="Times New Roman"/>
                <w:b/>
                <w:bCs/>
                <w:sz w:val="24"/>
                <w:u w:val="single"/>
              </w:rPr>
            </w:pPr>
            <w:r>
              <w:rPr>
                <w:rFonts w:ascii="Times New Roman" w:hAnsi="Times New Roman"/>
                <w:sz w:val="24"/>
              </w:rPr>
              <w:t>Skolos priemonių, kuriomis prekiaujama, pozicijos, kurioms taikomi specifinės rizikos kapitalo reikalavimai, ir jų atitinkami kapitalo reikalavimai pagal Reglamento (ES) Nr. 575/2013 92 straipsnio 3 dalies b punktą, 335 straipsnį, 336 straipsnio 1, 2 ir 3 dalis, 337 ir 338 straipsnius. Taip pat atkreipkite dėmesį to reglamento 327 straipsnio 1 dalies paskutinį sakinį.</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reikalavimas skolos priemonėms, kurios nėra pakeitimo vertybiniais popieriais priemonės</w:t>
            </w:r>
          </w:p>
          <w:p w14:paraId="19437B35" w14:textId="77777777" w:rsidR="000B0B09" w:rsidRPr="002D60D7" w:rsidRDefault="000B0B09" w:rsidP="004C445F">
            <w:pPr>
              <w:suppressAutoHyphens/>
              <w:rPr>
                <w:rFonts w:ascii="Times New Roman" w:hAnsi="Times New Roman"/>
                <w:sz w:val="24"/>
              </w:rPr>
            </w:pPr>
            <w:r>
              <w:rPr>
                <w:rFonts w:ascii="Times New Roman" w:hAnsi="Times New Roman"/>
                <w:sz w:val="24"/>
              </w:rPr>
              <w:t>260–321 eilutėse nurodytų reikšmių suma.</w:t>
            </w:r>
          </w:p>
          <w:p w14:paraId="4CDA5DEB" w14:textId="4AB00123" w:rsidR="000B0B09" w:rsidRPr="002D60D7" w:rsidRDefault="000B0B09" w:rsidP="004C445F">
            <w:pPr>
              <w:suppressAutoHyphens/>
              <w:rPr>
                <w:rFonts w:ascii="Times New Roman" w:hAnsi="Times New Roman"/>
                <w:sz w:val="24"/>
              </w:rPr>
            </w:pPr>
            <w:r>
              <w:rPr>
                <w:rFonts w:ascii="Times New Roman" w:hAnsi="Times New Roman"/>
                <w:sz w:val="24"/>
              </w:rPr>
              <w:t xml:space="preserve">N-tojo įsipareigojimų neįvykdymo kredito išvestinių finansinių priemonių, kurios neturi išorinio reitingo, nuosavų lėšų reikalavimas apskaičiuojamas susumavus referencinių subjektų rizikos koeficientus (Reglamento (ES) Nr. 575/2013 332 straipsnio 1 dalies e punktas ir antra pastraipa, „skaidrumo metodas“). N-tojo įsipareigojimų neįvykdymo kredito išvestinių finansinių priemonių, kurios turi išorinį reitingą (Reglamento (ES) Nr. 575/2013 332 straipsnio 1 dalies trečia pastraipa), atveju jis nurodomas atskirai 321 eilutėje. </w:t>
            </w:r>
          </w:p>
          <w:p w14:paraId="7051ED04" w14:textId="439958FE" w:rsidR="000B0B09" w:rsidRPr="002D60D7" w:rsidRDefault="000B0B09" w:rsidP="004C445F">
            <w:pPr>
              <w:suppressAutoHyphens/>
              <w:rPr>
                <w:rFonts w:ascii="Times New Roman" w:hAnsi="Times New Roman"/>
                <w:sz w:val="24"/>
              </w:rPr>
            </w:pPr>
            <w:r>
              <w:rPr>
                <w:rFonts w:ascii="Times New Roman" w:hAnsi="Times New Roman"/>
                <w:sz w:val="24"/>
              </w:rPr>
              <w:t>Informacijos apie pozicijas, kurioms taikoma Reglamento (ES) Nr. 575/2013 336 straipsnio 3 dalis, teikimas: Speciali tvarka taikoma obligacijoms, kurioms remiantis to reglamento 129 straipsnio 3 dalimi (padengtosios obligacijos) bankinėje knygoje galima taikyti 10 % rizikos koeficientą. Specifinius nuosavų lėšų reikalavimus sudaro pusė Reglamento (ES) Nr. 575/2013 336 straipsnio 1 lentelėje nurodytos antros kategorijos procentinės dalies. Tos pozicijos priskiriamos 0280–0300 eilutėms pagal likusį laiką iki galutinio termino.</w:t>
            </w:r>
          </w:p>
          <w:p w14:paraId="11FE9AD5" w14:textId="6CF7D4D9" w:rsidR="000B0B09" w:rsidRPr="002D60D7" w:rsidRDefault="00F41508" w:rsidP="004C445F">
            <w:pPr>
              <w:suppressAutoHyphens/>
              <w:rPr>
                <w:rFonts w:ascii="Times New Roman" w:hAnsi="Times New Roman"/>
                <w:b/>
                <w:bCs/>
                <w:sz w:val="24"/>
                <w:u w:val="single"/>
              </w:rPr>
            </w:pPr>
            <w:r>
              <w:rPr>
                <w:rFonts w:ascii="Times New Roman" w:hAnsi="Times New Roman"/>
                <w:sz w:val="24"/>
              </w:rPr>
              <w:t xml:space="preserve">Jeigu bendroji palūkanų normos pozicijų rizika yra apdraudžiama kredito išvestine finansine priemone, taikomi Reglamento (ES) Nr. 575/2013 346 ir 347 straipsniai. </w:t>
            </w:r>
          </w:p>
        </w:tc>
      </w:tr>
      <w:tr w:rsidR="000B0B09" w:rsidRPr="002D60D7" w14:paraId="3F2475A8" w14:textId="77777777" w:rsidTr="00672D2A">
        <w:tc>
          <w:tcPr>
            <w:tcW w:w="987" w:type="dxa"/>
          </w:tcPr>
          <w:p w14:paraId="1898316C"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reikalavimas pakeitimo vertybiniais popieriais priemonėms</w:t>
            </w:r>
          </w:p>
          <w:p w14:paraId="7BA68AB7"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lastRenderedPageBreak/>
              <w:t>Bendra nuosavų lėšų reikalavimų suma, nurodyta MKR SA SEC šablono 0601 skiltyje. Ta bendra nuosavų lėšų reikalavimų suma nurodoma tik prie MKR SA TDI bendrų sumų.</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0330</w:t>
            </w:r>
          </w:p>
        </w:tc>
        <w:tc>
          <w:tcPr>
            <w:tcW w:w="7875" w:type="dxa"/>
          </w:tcPr>
          <w:p w14:paraId="66957FA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reikalavimas koreliacinės prekybos portfeliui</w:t>
            </w:r>
          </w:p>
          <w:p w14:paraId="104F8330"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Bendra nuosavų lėšų reikalavimų suma, nurodyta MKR SA CTP šablono 0450 skiltyje. Ta bendra nuosavų lėšų reikalavimų suma nurodoma tik prie MKR SA TDI bendrų sumų.</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D60D7" w:rsidRDefault="000B0B09"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PAPILDOMI REIKALAVIMAI PASIRINKIMO SANDORIAMS (NE DELTA RIZIKA) </w:t>
            </w:r>
          </w:p>
          <w:p w14:paraId="3B19069A" w14:textId="2AE3D272" w:rsidR="000B0B09" w:rsidRPr="002D60D7" w:rsidRDefault="000B0B09" w:rsidP="004C445F">
            <w:pPr>
              <w:suppressAutoHyphens/>
              <w:rPr>
                <w:rFonts w:ascii="Times New Roman" w:hAnsi="Times New Roman"/>
                <w:sz w:val="24"/>
              </w:rPr>
            </w:pPr>
            <w:r>
              <w:rPr>
                <w:rFonts w:ascii="Times New Roman" w:hAnsi="Times New Roman"/>
                <w:sz w:val="24"/>
              </w:rPr>
              <w:t>Reglamento (ES) Nr. 575/2013 329 straipsnio 3 dalis.</w:t>
            </w:r>
          </w:p>
          <w:p w14:paraId="4A1F04EE" w14:textId="77777777" w:rsidR="000B0B09" w:rsidRPr="002D60D7" w:rsidRDefault="000B0B09" w:rsidP="004C445F">
            <w:pPr>
              <w:suppressAutoHyphens/>
              <w:rPr>
                <w:rFonts w:ascii="Times New Roman" w:hAnsi="Times New Roman"/>
                <w:bCs/>
                <w:sz w:val="24"/>
              </w:rPr>
            </w:pPr>
            <w:r>
              <w:rPr>
                <w:rFonts w:ascii="Times New Roman" w:hAnsi="Times New Roman"/>
                <w:sz w:val="24"/>
              </w:rPr>
              <w:t>Papildomi reikalavimai pasirinkimo sandoriams, susijusiems su ne delta rizika, nurodomi suskirstyti pagal jų skaičiavimui taikytą metodą.</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917569"/>
      <w:r>
        <w:rPr>
          <w:rFonts w:ascii="Times New Roman" w:hAnsi="Times New Roman"/>
          <w:sz w:val="24"/>
          <w:u w:val="none"/>
        </w:rPr>
        <w:t>3.</w:t>
      </w:r>
      <w:r w:rsidRPr="000468F5">
        <w:rPr>
          <w:u w:val="none"/>
        </w:rPr>
        <w:tab/>
      </w:r>
      <w:r>
        <w:rPr>
          <w:rFonts w:ascii="Times New Roman" w:hAnsi="Times New Roman"/>
          <w:sz w:val="24"/>
        </w:rPr>
        <w:t>C 19.00. RINKOS RIZIKA. STANDARTIZUOTAS METODAS, TAIKOMAS SPECIFINEI PAKEITIMO VERTYBINIAIS POPIERIAIS RIZIKAI (MKR SA SEC)</w:t>
      </w:r>
      <w:bookmarkEnd w:id="52"/>
      <w:bookmarkEnd w:id="53"/>
      <w:bookmarkEnd w:id="54"/>
      <w:bookmarkEnd w:id="55"/>
      <w:bookmarkEnd w:id="56"/>
      <w:bookmarkEnd w:id="57"/>
      <w:bookmarkEnd w:id="58"/>
    </w:p>
    <w:p w14:paraId="77E74540" w14:textId="159B56B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917570"/>
      <w:r>
        <w:rPr>
          <w:rFonts w:ascii="Times New Roman" w:hAnsi="Times New Roman"/>
          <w:sz w:val="24"/>
          <w:u w:val="none"/>
        </w:rPr>
        <w:t>3.1.</w:t>
      </w:r>
      <w:r w:rsidRPr="000468F5">
        <w:rPr>
          <w:u w:val="none"/>
        </w:rPr>
        <w:tab/>
      </w:r>
      <w:r>
        <w:rPr>
          <w:rFonts w:ascii="Times New Roman" w:hAnsi="Times New Roman"/>
          <w:sz w:val="24"/>
        </w:rPr>
        <w:t>Bendrosios pastabos</w:t>
      </w:r>
      <w:bookmarkEnd w:id="59"/>
      <w:bookmarkEnd w:id="60"/>
      <w:bookmarkEnd w:id="61"/>
      <w:bookmarkEnd w:id="62"/>
      <w:bookmarkEnd w:id="63"/>
      <w:bookmarkEnd w:id="64"/>
      <w:bookmarkEnd w:id="65"/>
    </w:p>
    <w:p w14:paraId="7E5893C5" w14:textId="18DD7193" w:rsidR="00FC6275" w:rsidRPr="002D60D7"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Šiame šablone prašoma pateikti informaciją apie pozicijas (visas / grynąsias ir ilgąsias / trumpąsias) ir susijusius nuosavų lėšų reikalavimus pakeitimo vertybiniais popieriais ir (arba) pakartotinio pakeitimo vertybiniais popieriais pozicijų, įtrauktų į prekybos knygą, rizikos specifinės rizikos komponentams (netaikoma koreliacinės prekybos portfeliui) pagal standartizuotą metodą. </w:t>
      </w:r>
    </w:p>
    <w:p w14:paraId="2729DF95" w14:textId="1BA228E4" w:rsidR="00FC6275" w:rsidRPr="002D60D7" w:rsidRDefault="00FC6275" w:rsidP="00E172EA">
      <w:pPr>
        <w:pStyle w:val="InstructionsText2"/>
        <w:numPr>
          <w:ilvl w:val="0"/>
          <w:numId w:val="29"/>
        </w:numPr>
        <w:suppressAutoHyphens/>
      </w:pPr>
      <w:r>
        <w:t xml:space="preserve">MKR SA SEC šablone pateikiamas nuosavų lėšų reikalavimas tik pakeitimo vertybiniais popieriais pozicijų specifinei rizikai padengti, kaip nurodyta Reglamento (ES) Nr. 575/2013 335 straipsnyje kartu su to reglamento 337 straipsniu. Jeigu pakeitimo vertybiniais popieriais prekybos knygos pozicijos yra apdraustos kredito išvestinėmis finansinėmis priemonėmis, taikomi Reglamento (ES) Nr. 575/2013 346 ir 347 straipsniai. Visoms prekybos knygos pozicijoms nurodyti yra skirtas tik vienas šablonas, nepaisant to, kokį metodą investicinės įmonės taiko kiekvienos pozicijos rizikos koeficientui nustatyti pagal Reglamento (ES) Nr. 575/2013 trečios dalies II antraštinės dalies 5 skyrių. Nuosavų lėšų reikalavimai bendrai tų pozicijų rizikai padengti nurodomi MKR SA TDI arba MKR IM šablone. </w:t>
      </w:r>
    </w:p>
    <w:p w14:paraId="0C732A14" w14:textId="3FF74494" w:rsidR="00FC6275" w:rsidRDefault="00FC6275" w:rsidP="00E172EA">
      <w:pPr>
        <w:pStyle w:val="InstructionsText2"/>
        <w:numPr>
          <w:ilvl w:val="0"/>
          <w:numId w:val="29"/>
        </w:numPr>
        <w:suppressAutoHyphens/>
      </w:pPr>
      <w:r>
        <w:t>Pozicijos, kurioms taikomas 1 250 % rizikos koeficientas, taip pat gali būti atskaitytos iš bendro 1 lygio nuosavo kapitalo (žr. Reglamento (ES) Nr. 575/2013 244 straipsnio 1 dalies b punktą, 245 straipsnio 1 dalies b punktą ir 253 straipsnį). Tos pozicijos nurodomos šiame šablone, net jei įstaiga pasinaudoja galimybe jas atskaityti.</w:t>
      </w:r>
    </w:p>
    <w:p w14:paraId="45360F2F" w14:textId="77777777" w:rsidR="000468F5" w:rsidRPr="002D60D7" w:rsidRDefault="000468F5" w:rsidP="000468F5">
      <w:pPr>
        <w:pStyle w:val="InstructionsText2"/>
        <w:numPr>
          <w:ilvl w:val="0"/>
          <w:numId w:val="0"/>
        </w:numPr>
        <w:suppressAutoHyphens/>
        <w:ind w:left="1353"/>
      </w:pPr>
    </w:p>
    <w:p w14:paraId="70F04261" w14:textId="4C2F6565" w:rsidR="000468F5" w:rsidRPr="000468F5" w:rsidRDefault="00C22B34" w:rsidP="000468F5">
      <w:pPr>
        <w:pStyle w:val="Instructionsberschrift2"/>
        <w:numPr>
          <w:ilvl w:val="0"/>
          <w:numId w:val="0"/>
        </w:numPr>
        <w:suppressAutoHyphens/>
        <w:ind w:left="357" w:hanging="357"/>
        <w:rPr>
          <w:rFonts w:ascii="Times New Roman" w:hAnsi="Times New Roman"/>
          <w:sz w:val="24"/>
        </w:rPr>
      </w:pPr>
      <w:bookmarkStart w:id="72" w:name="_Toc210917571"/>
      <w:r>
        <w:rPr>
          <w:rFonts w:ascii="Times New Roman" w:hAnsi="Times New Roman"/>
          <w:sz w:val="24"/>
          <w:u w:val="none"/>
        </w:rPr>
        <w:lastRenderedPageBreak/>
        <w:t>3.2.</w:t>
      </w:r>
      <w:r w:rsidRPr="000468F5">
        <w:rPr>
          <w:u w:val="none"/>
        </w:rPr>
        <w:tab/>
      </w:r>
      <w:r>
        <w:rPr>
          <w:rFonts w:ascii="Times New Roman" w:hAnsi="Times New Roman"/>
          <w:sz w:val="24"/>
        </w:rPr>
        <w:t>Nurodymai dėl konkrečių pozicijų</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Skiltys</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POZICIJOS (ILGOSIOS IR TRUMPOSIOS)</w:t>
            </w:r>
          </w:p>
          <w:p w14:paraId="503F4241" w14:textId="0DAFF941" w:rsidR="00C55547" w:rsidRPr="002D60D7" w:rsidRDefault="00C55547" w:rsidP="004C445F">
            <w:pPr>
              <w:suppressAutoHyphens/>
              <w:rPr>
                <w:rFonts w:ascii="Times New Roman" w:hAnsi="Times New Roman"/>
                <w:sz w:val="24"/>
              </w:rPr>
            </w:pPr>
            <w:r>
              <w:rPr>
                <w:rFonts w:ascii="Times New Roman" w:hAnsi="Times New Roman"/>
                <w:sz w:val="24"/>
              </w:rPr>
              <w:t xml:space="preserve">Reglamento (ES) Nr. 575/2013 </w:t>
            </w:r>
            <w:r>
              <w:rPr>
                <w:rStyle w:val="InstructionsTabelleText"/>
                <w:rFonts w:ascii="Times New Roman" w:hAnsi="Times New Roman"/>
                <w:sz w:val="24"/>
              </w:rPr>
              <w:t>102 straipsnis ir 105 straipsnio 1 dalis</w:t>
            </w:r>
            <w:r>
              <w:rPr>
                <w:rFonts w:ascii="Times New Roman" w:hAnsi="Times New Roman"/>
                <w:sz w:val="24"/>
              </w:rPr>
              <w:t xml:space="preserve"> </w:t>
            </w:r>
            <w:r>
              <w:rPr>
                <w:rStyle w:val="InstructionsTabelleText"/>
                <w:rFonts w:ascii="Times New Roman" w:hAnsi="Times New Roman"/>
                <w:sz w:val="24"/>
              </w:rPr>
              <w:t>kartu su to reglamento 337 straipsniu</w:t>
            </w:r>
            <w:r>
              <w:rPr>
                <w:rFonts w:ascii="Times New Roman" w:hAnsi="Times New Roman"/>
                <w:sz w:val="24"/>
              </w:rPr>
              <w:t xml:space="preserve"> </w:t>
            </w:r>
            <w:r>
              <w:rPr>
                <w:rStyle w:val="InstructionsTabelleText"/>
                <w:rFonts w:ascii="Times New Roman" w:hAnsi="Times New Roman"/>
                <w:sz w:val="24"/>
              </w:rPr>
              <w:t xml:space="preserve">(pakeitimo vertybiniais popieriais pozicijos). Dėl pozicijų skirstymo į ilgąsias ir trumpąsias, kuris taikomas ir bendrosioms tų pozicijų sumoms, žr. to reglamento 328 straipsnio 2 dalį.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POZICIJOS, ATSKAITOMOS IŠ NUOSAVŲ LĖŠŲ</w:t>
            </w:r>
            <w:r>
              <w:rPr>
                <w:rFonts w:ascii="Times New Roman" w:hAnsi="Times New Roman"/>
                <w:b/>
                <w:sz w:val="24"/>
                <w:u w:val="single"/>
              </w:rPr>
              <w:t xml:space="preserve"> (ILGOSIOS IR TRUMPOSIOS)</w:t>
            </w:r>
          </w:p>
          <w:p w14:paraId="1429CBFE" w14:textId="1A440B37" w:rsidR="00C55547" w:rsidRPr="002D60D7" w:rsidRDefault="00705025"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 Reglamento (ES) Nr. 575/2013 244 straipsnio 1 dalies b punktas, 245 straipsnio 1 dalies b punktas ir 253</w:t>
            </w:r>
            <w:r>
              <w:rPr>
                <w:rFonts w:ascii="Times New Roman" w:hAnsi="Times New Roman"/>
                <w:sz w:val="24"/>
              </w:rPr>
              <w:t xml:space="preserve"> straipsnis.</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GRYNOSIOS POZICIJOS</w:t>
            </w:r>
            <w:r>
              <w:rPr>
                <w:rFonts w:ascii="Times New Roman" w:hAnsi="Times New Roman"/>
                <w:b/>
                <w:sz w:val="24"/>
                <w:u w:val="single"/>
              </w:rPr>
              <w:t xml:space="preserve"> (ILGOSIOS IR TRUMPOSIOS)</w:t>
            </w:r>
          </w:p>
          <w:p w14:paraId="54C14D76" w14:textId="32F9EC29" w:rsidR="00C55547" w:rsidRPr="002D60D7" w:rsidRDefault="00C55547" w:rsidP="004C445F">
            <w:pPr>
              <w:suppressAutoHyphens/>
              <w:rPr>
                <w:rStyle w:val="InstructionsTabelleText"/>
                <w:rFonts w:ascii="Times New Roman" w:hAnsi="Times New Roman"/>
                <w:sz w:val="24"/>
              </w:rPr>
            </w:pPr>
            <w:r>
              <w:rPr>
                <w:rFonts w:ascii="Times New Roman" w:hAnsi="Times New Roman"/>
                <w:sz w:val="24"/>
              </w:rPr>
              <w:t xml:space="preserve">Reglamento (ES) Nr. 575/2013 </w:t>
            </w:r>
            <w:r>
              <w:rPr>
                <w:rStyle w:val="InstructionsTabelleText"/>
                <w:rFonts w:ascii="Times New Roman" w:hAnsi="Times New Roman"/>
                <w:sz w:val="24"/>
              </w:rPr>
              <w:t xml:space="preserve">327, 328, 329 ir 334 </w:t>
            </w:r>
            <w:r>
              <w:rPr>
                <w:rFonts w:ascii="Times New Roman" w:hAnsi="Times New Roman"/>
                <w:sz w:val="24"/>
              </w:rPr>
              <w:t>straipsniai</w:t>
            </w:r>
            <w:r>
              <w:rPr>
                <w:rStyle w:val="InstructionsTabelleText"/>
                <w:rFonts w:ascii="Times New Roman" w:hAnsi="Times New Roman"/>
                <w:sz w:val="24"/>
              </w:rPr>
              <w:t>. Dėl pozicijų skirstymo į ilgąsias ir trumpąsias žr. to reglamento 328 straipsnio</w:t>
            </w:r>
            <w:r>
              <w:rPr>
                <w:rFonts w:ascii="Times New Roman" w:hAnsi="Times New Roman"/>
                <w:sz w:val="24"/>
              </w:rPr>
              <w:t xml:space="preserve"> 2 dalį</w:t>
            </w:r>
            <w:r>
              <w:rPr>
                <w:rStyle w:val="InstructionsTabelleText"/>
                <w:rFonts w:ascii="Times New Roman" w:hAnsi="Times New Roman"/>
                <w:sz w:val="24"/>
              </w:rPr>
              <w:t>.</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GRYNŲJŲ POZICIJŲ SKIRSTYMAS PAGAL RIZIKOS KOEFICIENTUS</w:t>
            </w:r>
          </w:p>
          <w:p w14:paraId="3ECFC065" w14:textId="41D71775" w:rsidR="00C3548F"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Reglamento (ES) Nr. 575/2013 259–262 straipsniai, 263 straipsnio 1 ir 2 dalys, 264 straipsnio 3 ir 4 lentelės ir 266</w:t>
            </w:r>
            <w:r>
              <w:rPr>
                <w:rFonts w:ascii="Times New Roman" w:hAnsi="Times New Roman"/>
                <w:sz w:val="24"/>
              </w:rPr>
              <w:t xml:space="preserve"> straipsnis</w:t>
            </w:r>
            <w:r>
              <w:rPr>
                <w:rStyle w:val="InstructionsTabelleText"/>
                <w:rFonts w:ascii="Times New Roman" w:hAnsi="Times New Roman"/>
                <w:sz w:val="24"/>
              </w:rPr>
              <w:t xml:space="preserve">. </w:t>
            </w:r>
          </w:p>
          <w:p w14:paraId="4314B137" w14:textId="77777777"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Ilgosios ir trumposios pozicijos suskirstomos atskirai.</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GRYNŲJŲ POZICIJŲ SKIRSTYMAS PAGAL METODUS</w:t>
            </w:r>
          </w:p>
          <w:p w14:paraId="683DE902" w14:textId="55DF04AD" w:rsidR="00C55547" w:rsidRPr="002D60D7" w:rsidRDefault="00C55547" w:rsidP="004C445F">
            <w:pPr>
              <w:suppressAutoHyphens/>
              <w:rPr>
                <w:rFonts w:ascii="Times New Roman" w:hAnsi="Times New Roman"/>
                <w:b/>
                <w:bCs/>
                <w:sz w:val="24"/>
                <w:u w:val="single"/>
              </w:rPr>
            </w:pPr>
            <w:r>
              <w:rPr>
                <w:rFonts w:ascii="Times New Roman" w:hAnsi="Times New Roman"/>
                <w:sz w:val="24"/>
              </w:rPr>
              <w:t xml:space="preserve">Reglamento (ES) Nr. 575/2013 </w:t>
            </w:r>
            <w:r>
              <w:rPr>
                <w:rStyle w:val="InstructionsTabelleText"/>
                <w:rFonts w:ascii="Times New Roman" w:hAnsi="Times New Roman"/>
                <w:sz w:val="24"/>
              </w:rPr>
              <w:t>254</w:t>
            </w:r>
            <w:r>
              <w:rPr>
                <w:rFonts w:ascii="Times New Roman" w:hAnsi="Times New Roman"/>
                <w:sz w:val="24"/>
              </w:rPr>
              <w:t xml:space="preserve"> straipsnis.</w:t>
            </w:r>
            <w:r>
              <w:rPr>
                <w:rStyle w:val="InstructionsTabelleText"/>
                <w:rFonts w:ascii="Times New Roman" w:hAnsi="Times New Roman"/>
                <w:sz w:val="24"/>
              </w:rPr>
              <w:t xml:space="preserve">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Reglamento (ES) Nr. 575/2013 259 ir 260</w:t>
            </w:r>
            <w:r>
              <w:rPr>
                <w:rFonts w:ascii="Times New Roman" w:hAnsi="Times New Roman"/>
                <w:sz w:val="24"/>
              </w:rPr>
              <w:t xml:space="preserve"> straipsniai.</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D60D7" w:rsidRDefault="00C55547" w:rsidP="004C445F">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Reglamento (ES) Nr. 575/2013 261 ir 262</w:t>
            </w:r>
            <w:r>
              <w:rPr>
                <w:rFonts w:ascii="Times New Roman" w:hAnsi="Times New Roman"/>
                <w:sz w:val="24"/>
              </w:rPr>
              <w:t xml:space="preserve"> straipsniai.</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Reglamento (ES) Nr. 575/2013 263 ir 264</w:t>
            </w:r>
            <w:r>
              <w:rPr>
                <w:rFonts w:ascii="Times New Roman" w:hAnsi="Times New Roman"/>
                <w:sz w:val="24"/>
              </w:rPr>
              <w:t xml:space="preserve"> straipsniai.</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VIDINIO VERTINIMO METODAS</w:t>
            </w:r>
          </w:p>
          <w:p w14:paraId="5354C48C" w14:textId="38E5A78D" w:rsidR="00C55547" w:rsidRPr="002D60D7" w:rsidRDefault="00C55547" w:rsidP="004C445F">
            <w:pPr>
              <w:suppressAutoHyphens/>
              <w:rPr>
                <w:rFonts w:ascii="Times New Roman" w:hAnsi="Times New Roman"/>
                <w:bCs/>
                <w:sz w:val="24"/>
                <w:u w:val="single"/>
              </w:rPr>
            </w:pPr>
            <w:r>
              <w:rPr>
                <w:rStyle w:val="InstructionsTabelleText"/>
                <w:rFonts w:ascii="Times New Roman" w:hAnsi="Times New Roman"/>
                <w:sz w:val="24"/>
              </w:rPr>
              <w:t>Reglamento (ES) Nr. 575/2013 254 ir 265 straipsniai ir 266 straipsnio</w:t>
            </w:r>
            <w:r>
              <w:rPr>
                <w:rFonts w:ascii="Times New Roman" w:hAnsi="Times New Roman"/>
                <w:sz w:val="24"/>
              </w:rPr>
              <w:t xml:space="preserve"> 5 dalis</w:t>
            </w:r>
            <w:r>
              <w:rPr>
                <w:rStyle w:val="InstructionsTabelleText"/>
                <w:rFonts w:ascii="Times New Roman" w:hAnsi="Times New Roman"/>
                <w:sz w:val="24"/>
              </w:rPr>
              <w:t>.</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D60D7" w:rsidRDefault="0033476C" w:rsidP="004C445F">
            <w:pPr>
              <w:suppressAutoHyphens/>
              <w:spacing w:before="0" w:after="0"/>
              <w:jc w:val="left"/>
              <w:rPr>
                <w:rFonts w:ascii="Times New Roman" w:hAnsi="Times New Roman"/>
                <w:b/>
                <w:sz w:val="24"/>
                <w:u w:val="single"/>
              </w:rPr>
            </w:pPr>
            <w:r>
              <w:rPr>
                <w:rFonts w:ascii="Times New Roman" w:hAnsi="Times New Roman"/>
                <w:b/>
                <w:sz w:val="24"/>
                <w:u w:val="single"/>
              </w:rPr>
              <w:t>REIKALAVIMUS ATITINKANČIO NEVEIKSNIŲ POZICIJŲ PAKEITIMO VERTYBINIAIS POPIERIAIS DIDESNIO PRIORITETO SEGMENTAMS TAIKOMA KONKRETI TVARKA</w:t>
            </w:r>
          </w:p>
          <w:p w14:paraId="17BE744C" w14:textId="40B8EA94" w:rsidR="0033476C" w:rsidRPr="002D60D7" w:rsidRDefault="0033476C" w:rsidP="004C445F">
            <w:pPr>
              <w:suppressAutoHyphens/>
              <w:rPr>
                <w:rFonts w:ascii="Times New Roman" w:hAnsi="Times New Roman"/>
                <w:b/>
                <w:bCs/>
                <w:sz w:val="24"/>
                <w:u w:val="single"/>
              </w:rPr>
            </w:pPr>
            <w:r>
              <w:rPr>
                <w:rFonts w:ascii="Times New Roman" w:hAnsi="Times New Roman"/>
                <w:sz w:val="24"/>
              </w:rPr>
              <w:t>Reglamento (ES) Nr. 575/2013 269a straipsnio 3 dalis.</w:t>
            </w:r>
          </w:p>
        </w:tc>
      </w:tr>
      <w:tr w:rsidR="00C55547" w:rsidRPr="002D60D7" w14:paraId="05BEB883" w14:textId="77777777" w:rsidTr="000911FE">
        <w:tc>
          <w:tcPr>
            <w:tcW w:w="1413" w:type="dxa"/>
          </w:tcPr>
          <w:p w14:paraId="3D2DEA0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KITA (RW = 1 250</w:t>
            </w:r>
            <w:r>
              <w:t xml:space="preserve"> </w:t>
            </w:r>
            <w:r>
              <w:rPr>
                <w:rFonts w:ascii="Times New Roman" w:hAnsi="Times New Roman"/>
                <w:b/>
                <w:sz w:val="24"/>
                <w:u w:val="single"/>
              </w:rPr>
              <w:t>%)</w:t>
            </w:r>
          </w:p>
          <w:p w14:paraId="1684F52F" w14:textId="43F3FE5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Reglamento (ES) Nr. 575/2013 254 straipsnio 7</w:t>
            </w:r>
            <w:r>
              <w:rPr>
                <w:rFonts w:ascii="Times New Roman" w:hAnsi="Times New Roman"/>
                <w:sz w:val="24"/>
              </w:rPr>
              <w:t xml:space="preserve"> dalis.</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BENDRAS POVEIKIS (KOREGAVIMAS) DĖL REGLAMENTO (ES) 2017/2402 2 SKYRIAUS NUOSTATŲ PAŽEIDIMO</w:t>
            </w:r>
          </w:p>
          <w:p w14:paraId="3FBEAE4C" w14:textId="027236B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lastRenderedPageBreak/>
              <w:t>Reglamento (ES) Nr. 575/2013 270a</w:t>
            </w:r>
            <w:r>
              <w:rPr>
                <w:rFonts w:ascii="Times New Roman" w:hAnsi="Times New Roman"/>
                <w:sz w:val="24"/>
              </w:rPr>
              <w:t xml:space="preserve"> straipsnis.</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0570</w:t>
            </w:r>
          </w:p>
        </w:tc>
        <w:tc>
          <w:tcPr>
            <w:tcW w:w="7605" w:type="dxa"/>
          </w:tcPr>
          <w:p w14:paraId="4DCE07C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PRIEŠ APRIBOJIMĄ </w:t>
            </w:r>
          </w:p>
          <w:p w14:paraId="740CD739" w14:textId="54EB1279" w:rsidR="00C55547" w:rsidRPr="002D60D7" w:rsidRDefault="00C55547" w:rsidP="004C445F">
            <w:pPr>
              <w:suppressAutoHyphens/>
              <w:rPr>
                <w:rFonts w:ascii="Times New Roman" w:hAnsi="Times New Roman"/>
                <w:bCs/>
                <w:sz w:val="24"/>
              </w:rPr>
            </w:pPr>
            <w:r>
              <w:rPr>
                <w:rFonts w:ascii="Times New Roman" w:hAnsi="Times New Roman"/>
                <w:sz w:val="24"/>
              </w:rPr>
              <w:t>Reglamento (ES) Nr. 575/2013 337 straipsnis, neatsižvelgiant į to reglamento 335 straipsnyje nustatytą pasirinkimo galimybę, kuria įstaigai leidžiama įvertinimo rezultatą ir grynąją poziciją apriboti didžiausio galimo nuostolio, susijusio su įsipareigojimų neįvykdymu, suma.</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PO APRIBOJIMO / BENDRA NUOSAVŲ LĖŠŲ REIKALAVIMO SUMA </w:t>
            </w:r>
          </w:p>
          <w:p w14:paraId="0DE4FAED" w14:textId="59308D5D" w:rsidR="00C55547" w:rsidRPr="002D60D7" w:rsidRDefault="00C55547" w:rsidP="004C445F">
            <w:pPr>
              <w:suppressAutoHyphens/>
              <w:rPr>
                <w:rFonts w:ascii="Times New Roman" w:hAnsi="Times New Roman"/>
                <w:bCs/>
                <w:sz w:val="24"/>
              </w:rPr>
            </w:pPr>
            <w:r>
              <w:rPr>
                <w:rFonts w:ascii="Times New Roman" w:hAnsi="Times New Roman"/>
                <w:sz w:val="24"/>
              </w:rPr>
              <w:t xml:space="preserve">Reglamento (ES) Nr. 575/2013 337 straipsnis, </w:t>
            </w:r>
            <w:r>
              <w:rPr>
                <w:rStyle w:val="InstructionsTabelleText"/>
                <w:rFonts w:ascii="Times New Roman" w:hAnsi="Times New Roman"/>
                <w:sz w:val="24"/>
              </w:rPr>
              <w:t>atsižvelgiant į</w:t>
            </w:r>
            <w:r>
              <w:rPr>
                <w:rFonts w:ascii="Times New Roman" w:hAnsi="Times New Roman"/>
                <w:sz w:val="24"/>
              </w:rPr>
              <w:t xml:space="preserve"> to reglamento 335 straipsnyje numatytą pasirinkimo galimybę.</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Eilutės</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D60D7" w:rsidRDefault="00C55547" w:rsidP="004C445F">
            <w:pPr>
              <w:suppressAutoHyphens/>
              <w:rPr>
                <w:rFonts w:ascii="Times New Roman" w:hAnsi="Times New Roman"/>
                <w:sz w:val="24"/>
              </w:rPr>
            </w:pPr>
            <w:r>
              <w:rPr>
                <w:rStyle w:val="InstructionsTabelleberschrift"/>
                <w:rFonts w:ascii="Times New Roman" w:hAnsi="Times New Roman"/>
                <w:sz w:val="24"/>
              </w:rPr>
              <w:t>BENDRA POZICIJŲ SUMA</w:t>
            </w:r>
          </w:p>
          <w:p w14:paraId="3DA30B45" w14:textId="36AC07B8" w:rsidR="00C55547" w:rsidRPr="002D60D7" w:rsidRDefault="00C55547" w:rsidP="004C445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Bendra neapmokėta pakeitimo vertybiniais popieriais ir pakartotinio pakeitimo vertybiniais popieriais pozicijų (turimų prekybos knygoje) suma, kurią nurodo įstaiga, atliekanti iniciatoriaus, investuotojo arba rėmėjo vaidmenį.</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ir 0100</w:t>
            </w:r>
          </w:p>
        </w:tc>
        <w:tc>
          <w:tcPr>
            <w:tcW w:w="7537" w:type="dxa"/>
          </w:tcPr>
          <w:p w14:paraId="4F5DF6A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PAKEITIMO VERTYBINIAIS POPIERIAIS POZICIJOS</w:t>
            </w:r>
          </w:p>
          <w:p w14:paraId="62CD89EA" w14:textId="30BF22B1" w:rsidR="00C55547" w:rsidRPr="002D60D7" w:rsidRDefault="0053202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 Reglamento (ES) Nr. 575/2013 4 straipsnio 1 dalies 62 punktas.</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ir 0110</w:t>
            </w:r>
          </w:p>
        </w:tc>
        <w:tc>
          <w:tcPr>
            <w:tcW w:w="7537" w:type="dxa"/>
          </w:tcPr>
          <w:p w14:paraId="3C62BCE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PAKARTOTINIO PAKEITIMO VERTYBINIAIS POPIERIAIS POZICIJOS</w:t>
            </w:r>
          </w:p>
          <w:p w14:paraId="32F5BAEB" w14:textId="2FA2B3C6"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Reglamento (ES) Nr. 575/2013 4 straipsnio 1 dalies 64 punktas.</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0041, 0071 ir 0101</w:t>
            </w:r>
          </w:p>
        </w:tc>
        <w:tc>
          <w:tcPr>
            <w:tcW w:w="7537" w:type="dxa"/>
          </w:tcPr>
          <w:p w14:paraId="17D8E88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DALIS, KURIĄ ATITINKA: POZICIJOS, ATITINKANČIOS DIFERENCIJUOTOS KAPITALO TVARKOS REIKALAVIMUS</w:t>
            </w:r>
          </w:p>
          <w:p w14:paraId="775DD0A5" w14:textId="5E8A13EA" w:rsidR="00C55547" w:rsidRPr="002D60D7" w:rsidRDefault="00C55547" w:rsidP="004C445F">
            <w:pPr>
              <w:suppressAutoHyphens/>
              <w:rPr>
                <w:rStyle w:val="InstructionsTabelleberschrift"/>
                <w:rFonts w:ascii="Times New Roman" w:hAnsi="Times New Roman"/>
                <w:sz w:val="24"/>
              </w:rPr>
            </w:pPr>
            <w:r>
              <w:rPr>
                <w:rFonts w:ascii="Times New Roman" w:hAnsi="Times New Roman"/>
                <w:sz w:val="24"/>
              </w:rPr>
              <w:t xml:space="preserve">Bendra pakeitimo vertybiniais popieriais pozicijų, kurios atitinka Reglamento (ES) Nr. 575/2013 243 arba 270 straipsniuose nustatytus kriterijus ir todėl atitinka diferencijuotos kapitalo tvarkos reikalavimus, suma.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ĮSTAIGA INICIATORĖ</w:t>
            </w:r>
          </w:p>
          <w:p w14:paraId="50264432" w14:textId="0FD773BF"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Reglamento (ES) Nr. 575/2013 4 straipsnio 1 dalies 13 punktas.</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ĮSTAIGA INVESTUOTOJA</w:t>
            </w:r>
          </w:p>
          <w:p w14:paraId="13A59676" w14:textId="722AE4F3" w:rsidR="00C55547" w:rsidRPr="002D60D7" w:rsidRDefault="00C55547"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Kredito įstaiga, pakeitimo vertybiniais popieriais sandoryje, kurio atžvilgiu ji nėra nei iniciatorė, nei rėmėja, nei pirminė skolintoja, turinti pakeitimo vertybiniais popieriais poziciją. </w:t>
            </w:r>
          </w:p>
          <w:p w14:paraId="5289F9D1"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ĮSTAIGA RĖMĖJA</w:t>
            </w:r>
          </w:p>
          <w:p w14:paraId="40C5E800" w14:textId="57801E6F" w:rsidR="000242CC" w:rsidRPr="002D60D7" w:rsidRDefault="00D24331" w:rsidP="004C445F">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Reglamento (ES) Nr. 575/2013 4 straipsnio 1 dalies 14 punktas</w:t>
            </w:r>
            <w:r>
              <w:rPr>
                <w:rStyle w:val="InstructionsTabelleText"/>
                <w:rFonts w:ascii="Times New Roman" w:hAnsi="Times New Roman"/>
                <w:sz w:val="24"/>
              </w:rPr>
              <w:t xml:space="preserve">. </w:t>
            </w:r>
          </w:p>
          <w:p w14:paraId="036222AB" w14:textId="77777777" w:rsidR="00C55547" w:rsidRPr="002D60D7" w:rsidRDefault="0053202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lastRenderedPageBreak/>
              <w:t>Įstaiga rėmėja, vertybiniais popieriais keičianti ir nuosavą turtą, užpildo įstaigai iniciatorei skirtas eilutes, pateikdama informaciją apie vertybiniais popieriais keičiamą nuosavą turtą.</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917572"/>
      <w:r>
        <w:rPr>
          <w:rFonts w:ascii="Times New Roman" w:hAnsi="Times New Roman"/>
          <w:sz w:val="24"/>
          <w:u w:val="none"/>
        </w:rPr>
        <w:t>4.</w:t>
      </w:r>
      <w:r w:rsidRPr="000468F5">
        <w:rPr>
          <w:u w:val="none"/>
        </w:rPr>
        <w:tab/>
      </w:r>
      <w:r>
        <w:rPr>
          <w:rFonts w:ascii="Times New Roman" w:hAnsi="Times New Roman"/>
          <w:sz w:val="24"/>
        </w:rPr>
        <w:t>C 20.00. RINKOS RIZIKA. STANDARTIZUOTAS METODAS, TAIKOMAS SPECIFINEI RIZIKAI, SUSIJUSIAI SU KORELIACINĖS PREKYBOS PORTFELIUI PRISKIRTOMIS POZICIJOMIS (MKR SA CTP</w:t>
      </w:r>
      <w:bookmarkEnd w:id="73"/>
      <w:bookmarkEnd w:id="74"/>
      <w:bookmarkEnd w:id="75"/>
      <w:bookmarkEnd w:id="76"/>
      <w:r>
        <w:rPr>
          <w:rFonts w:ascii="Times New Roman" w:hAnsi="Times New Roman"/>
          <w:sz w:val="24"/>
        </w:rPr>
        <w:t>)</w:t>
      </w:r>
      <w:bookmarkEnd w:id="77"/>
      <w:bookmarkEnd w:id="78"/>
      <w:bookmarkEnd w:id="79"/>
    </w:p>
    <w:p w14:paraId="43960D05" w14:textId="0A1B0018"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917573"/>
      <w:r>
        <w:rPr>
          <w:rFonts w:ascii="Times New Roman" w:hAnsi="Times New Roman"/>
          <w:sz w:val="24"/>
          <w:u w:val="none"/>
        </w:rPr>
        <w:t>4.1.</w:t>
      </w:r>
      <w:r w:rsidRPr="000468F5">
        <w:rPr>
          <w:u w:val="none"/>
        </w:rPr>
        <w:tab/>
      </w:r>
      <w:r>
        <w:rPr>
          <w:rFonts w:ascii="Times New Roman" w:hAnsi="Times New Roman"/>
          <w:sz w:val="24"/>
        </w:rPr>
        <w:t>Bendrosios pastabos</w:t>
      </w:r>
      <w:bookmarkEnd w:id="80"/>
      <w:bookmarkEnd w:id="81"/>
      <w:bookmarkEnd w:id="82"/>
      <w:bookmarkEnd w:id="83"/>
      <w:bookmarkEnd w:id="84"/>
      <w:bookmarkEnd w:id="85"/>
      <w:bookmarkEnd w:id="86"/>
    </w:p>
    <w:p w14:paraId="6E7E4803" w14:textId="7EB80912"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Šiame šablone prašoma pateikti informaciją apie koreliacinės prekybos portfelio (CTP) pozicijas (kurias sudaro pakeitimo vertybiniais popieriais, n-tojo įsipareigojimų neįvykdymo kredito išvestinių finansinių priemonių ir kitos CTP pozicijos, įtrauktos pagal Reglamento (ES) Nr. 575/2013 338 straipsnio 3 dalį) ir atitinkamus nuosavų lėšų reikalavimus pagal standartizuotą metodą.</w:t>
      </w:r>
    </w:p>
    <w:p w14:paraId="7D9D9B10" w14:textId="1F1EFDEB" w:rsidR="00C55547" w:rsidRPr="002D60D7" w:rsidRDefault="00C55547" w:rsidP="00E172EA">
      <w:pPr>
        <w:pStyle w:val="InstructionsText2"/>
        <w:numPr>
          <w:ilvl w:val="0"/>
          <w:numId w:val="29"/>
        </w:numPr>
        <w:suppressAutoHyphens/>
      </w:pPr>
      <w:r>
        <w:t>MKR SA CTP šablone pateikiamas nuosavų lėšų reikalavimas tik specifinei CTP priskirtų pozicijų rizikai padengti pagal Reglamento (ES) Nr. 575/2013 335 straipsnį kartu su to reglamento 338 straipsnio 2 ir 3 dalimis. Jei prekybos knygos CTP pozicijos yra apdraustos kredito išvestinėmis finansinėmis priemonėmis, taikomi Reglamento (ES) Nr. 575/2013 346 ir 347 straipsniai. Visoms prekybos knygos CTP pozicijoms nurodyti yra skirtas tik vienas šablonas, nepaisant to, kokį metodą investicinės įmonės taiko kiekvienos pozicijos rizikos koeficientui nustatyti pagal Reglamento (ES) Nr. 575/2013 trečios dalies II antraštinės dalies 5 skyrių. Nuosavų lėšų reikalavimai bendrai šių pozicijų rizikai padengti nurodomi MKR SA TDI arba MKR IM šablone.</w:t>
      </w:r>
    </w:p>
    <w:p w14:paraId="2252BE4F" w14:textId="4513CABA" w:rsidR="00C55547" w:rsidRPr="002D60D7" w:rsidRDefault="00C55547" w:rsidP="00E172EA">
      <w:pPr>
        <w:pStyle w:val="InstructionsText2"/>
        <w:numPr>
          <w:ilvl w:val="0"/>
          <w:numId w:val="29"/>
        </w:numPr>
        <w:suppressAutoHyphens/>
      </w:pPr>
      <w:r>
        <w:t xml:space="preserve">Pagal šį šabloną pakeitimo vertybiniais popieriais, n-tojo įsipareigojimų neįvykdymo kredito išvestinių finansinių priemonių ir kitos CTP pozicijos yra atskiriamos. Pakeitimo vertybiniais popieriais pozicijos visada nurodomos 0030, 0060 arba 0090 eilutėje (pagal tai, koks vaidmuo pakeitimo vertybiniais popieriais sandoryje tenka įstaigai). N-tojo įsipareigojimų neįvykdymo kredito išvestinės finansinės priemonės visada nurodomos 0110 eilutėje. „Kitos CTP pozicijos“ yra pozicijos, kurios nėra nei pakeitimo vertybiniais popieriais pozicijos, nei n-tojo įsipareigojimų neįvykdymo kredito išvestinės finansinės priemonės (žr. Reglamento (ES) Nr. 575/2013 338 straipsnio 3 dalį), bet yra akivaizdžiai susijusios su viena iš tų dviejų pozicijų (dėl ketinimo taikyti apsidraudimo priemonę). </w:t>
      </w:r>
    </w:p>
    <w:p w14:paraId="5B5B9C2A" w14:textId="127C8328" w:rsidR="00C55547" w:rsidRDefault="00C55547" w:rsidP="00E172EA">
      <w:pPr>
        <w:pStyle w:val="InstructionsText2"/>
        <w:numPr>
          <w:ilvl w:val="0"/>
          <w:numId w:val="29"/>
        </w:numPr>
        <w:suppressAutoHyphens/>
      </w:pPr>
      <w:r>
        <w:t>Pozicijos, kurioms taikomas 1 250 % rizikos koeficientas, taip pat gali būti atskaitytos iš bendro 1 lygio nuosavo kapitalo (žr. Reglamento (ES) Nr. 575/2013 244 straipsnio 1 dalies b punktą, 245 straipsnio 1 dalies b punktą ir 253 straipsnį). Tos pozicijos nurodomos šiame šablone, net jei įstaiga pasinaudoja galimybe jas atskaityti.</w:t>
      </w:r>
    </w:p>
    <w:p w14:paraId="778176F7" w14:textId="77777777" w:rsidR="000468F5" w:rsidRDefault="000468F5" w:rsidP="000468F5">
      <w:pPr>
        <w:pStyle w:val="InstructionsText2"/>
        <w:numPr>
          <w:ilvl w:val="0"/>
          <w:numId w:val="0"/>
        </w:numPr>
        <w:suppressAutoHyphens/>
        <w:ind w:left="1353" w:hanging="360"/>
      </w:pPr>
    </w:p>
    <w:p w14:paraId="708106AF" w14:textId="77777777" w:rsidR="000468F5" w:rsidRPr="002D60D7" w:rsidRDefault="000468F5" w:rsidP="000468F5">
      <w:pPr>
        <w:pStyle w:val="InstructionsText2"/>
        <w:numPr>
          <w:ilvl w:val="0"/>
          <w:numId w:val="0"/>
        </w:numPr>
        <w:suppressAutoHyphens/>
        <w:ind w:left="1353" w:hanging="360"/>
      </w:pPr>
    </w:p>
    <w:p w14:paraId="6482CB53" w14:textId="4A90E23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917574"/>
      <w:r>
        <w:rPr>
          <w:rFonts w:ascii="Times New Roman" w:hAnsi="Times New Roman"/>
          <w:sz w:val="24"/>
          <w:u w:val="none"/>
        </w:rPr>
        <w:lastRenderedPageBreak/>
        <w:t>4.2</w:t>
      </w:r>
      <w:r w:rsidRPr="000468F5">
        <w:rPr>
          <w:rFonts w:ascii="Times New Roman" w:hAnsi="Times New Roman"/>
          <w:sz w:val="24"/>
          <w:u w:val="none"/>
        </w:rPr>
        <w:t>.</w:t>
      </w:r>
      <w:r w:rsidRPr="000468F5">
        <w:rPr>
          <w:u w:val="none"/>
        </w:rPr>
        <w:tab/>
      </w:r>
      <w:r>
        <w:rPr>
          <w:rFonts w:ascii="Times New Roman" w:hAnsi="Times New Roman"/>
          <w:sz w:val="24"/>
        </w:rPr>
        <w:t>Nurodymai dėl konkrečių pozicijų</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Skiltys</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VISOS POZICIJOS (ILGOSIOS IR TRUMPOSIOS)</w:t>
            </w:r>
          </w:p>
          <w:p w14:paraId="4F3CF7CB" w14:textId="3DE2B427" w:rsidR="005C14B0" w:rsidRPr="002D60D7" w:rsidRDefault="00C55547" w:rsidP="004C445F">
            <w:pPr>
              <w:suppressAutoHyphens/>
              <w:rPr>
                <w:rFonts w:ascii="Times New Roman" w:hAnsi="Times New Roman"/>
                <w:sz w:val="24"/>
              </w:rPr>
            </w:pPr>
            <w:r>
              <w:rPr>
                <w:rFonts w:ascii="Times New Roman" w:hAnsi="Times New Roman"/>
                <w:sz w:val="24"/>
              </w:rPr>
              <w:t>Reglamento (ES) Nr. 575/2013 102 straipsnis ir 105 straipsnio 1 dalis kartu su to reglamento 338 straipsnio 2 ir 3 dalimis (koreliacinės prekybos portfeliui priskirtos pozicijos).</w:t>
            </w:r>
          </w:p>
          <w:p w14:paraId="70FB0860" w14:textId="54994400" w:rsidR="00C55547" w:rsidRPr="002D60D7" w:rsidRDefault="00C55547" w:rsidP="004C445F">
            <w:pPr>
              <w:suppressAutoHyphens/>
              <w:rPr>
                <w:rFonts w:ascii="Times New Roman" w:hAnsi="Times New Roman"/>
                <w:sz w:val="24"/>
              </w:rPr>
            </w:pPr>
            <w:r>
              <w:rPr>
                <w:rFonts w:ascii="Times New Roman" w:hAnsi="Times New Roman"/>
                <w:sz w:val="24"/>
              </w:rPr>
              <w:t>Dėl pozicijų skirstymo į ilgąsias ir trumpąsias, kuris taikomas ir bendrosioms tų pozicijų sumoms, žr. Reglamento (ES) Nr. 575/2013 328 straipsnio 2 dalį.</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POZICIJOS, ATSKAITOMOS IŠ NUOSAVŲ LĖŠŲ (ILGOSIOS IR TRUMPOSIOS)</w:t>
            </w:r>
          </w:p>
          <w:p w14:paraId="56207551" w14:textId="0069D39B" w:rsidR="00C55547" w:rsidRPr="002D60D7" w:rsidRDefault="00C55547" w:rsidP="004C445F">
            <w:pPr>
              <w:suppressAutoHyphens/>
              <w:rPr>
                <w:rFonts w:ascii="Times New Roman" w:hAnsi="Times New Roman"/>
                <w:sz w:val="24"/>
              </w:rPr>
            </w:pPr>
            <w:r>
              <w:rPr>
                <w:rFonts w:ascii="Times New Roman" w:hAnsi="Times New Roman"/>
                <w:sz w:val="24"/>
              </w:rPr>
              <w:t xml:space="preserve">Reglamento (ES) Nr. 575/2013 253 straipsnis.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GRYNOSIOS POZICIJOS (ILGOSIOS IR TRUMPOSIOS)</w:t>
            </w:r>
          </w:p>
          <w:p w14:paraId="01BDDE40" w14:textId="76E789A7" w:rsidR="005C14B0" w:rsidRPr="002D60D7" w:rsidRDefault="00C55547" w:rsidP="004C445F">
            <w:pPr>
              <w:suppressAutoHyphens/>
              <w:rPr>
                <w:rFonts w:ascii="Times New Roman" w:hAnsi="Times New Roman"/>
                <w:sz w:val="24"/>
              </w:rPr>
            </w:pPr>
            <w:r>
              <w:rPr>
                <w:rFonts w:ascii="Times New Roman" w:hAnsi="Times New Roman"/>
                <w:sz w:val="24"/>
              </w:rPr>
              <w:t xml:space="preserve">Reglamento (ES) Nr. 575/2013 327, 328, 329 ir 334 straipsniai. </w:t>
            </w:r>
          </w:p>
          <w:p w14:paraId="6C03F093" w14:textId="3D25FE7B" w:rsidR="00C55547" w:rsidRPr="002D60D7" w:rsidRDefault="00C55547" w:rsidP="004C445F">
            <w:pPr>
              <w:suppressAutoHyphens/>
              <w:rPr>
                <w:rFonts w:ascii="Times New Roman" w:hAnsi="Times New Roman"/>
                <w:sz w:val="24"/>
              </w:rPr>
            </w:pPr>
            <w:r>
              <w:rPr>
                <w:rFonts w:ascii="Times New Roman" w:hAnsi="Times New Roman"/>
                <w:sz w:val="24"/>
              </w:rPr>
              <w:t>Dėl pozicijų skirstymo į ilgąsias ir trumpąsias žr. to reglamento 328 straipsnio 2 dalį.</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GRYNŲJŲ POZICIJŲ SKIRSTYMAS PAGAL RIZIKOS KOEFICIENTUS</w:t>
            </w:r>
          </w:p>
          <w:p w14:paraId="691F4414" w14:textId="75A08501" w:rsidR="00C55547" w:rsidRPr="002D60D7" w:rsidRDefault="00133396" w:rsidP="004C445F">
            <w:pPr>
              <w:suppressAutoHyphens/>
              <w:rPr>
                <w:rFonts w:ascii="Times New Roman" w:hAnsi="Times New Roman"/>
                <w:sz w:val="24"/>
              </w:rPr>
            </w:pPr>
            <w:r>
              <w:rPr>
                <w:rStyle w:val="InstructionsTabelleText"/>
                <w:rFonts w:ascii="Times New Roman" w:hAnsi="Times New Roman"/>
                <w:sz w:val="24"/>
              </w:rPr>
              <w:t>Reglamento (ES) Nr. 575/2013 259–262 straipsniai, 263 straipsnio 1 ir 2 dalys, 264 straipsnio 3 ir 4 lentelės ir 266</w:t>
            </w:r>
            <w:r>
              <w:rPr>
                <w:rFonts w:ascii="Times New Roman" w:hAnsi="Times New Roman"/>
                <w:sz w:val="24"/>
              </w:rPr>
              <w:t xml:space="preserve"> straipsnis.</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D60D7" w:rsidRDefault="00543964"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GRYNŲJŲ POZICIJŲ SKIRSTYMAS PAGAL METODUS</w:t>
            </w:r>
          </w:p>
          <w:p w14:paraId="19937787" w14:textId="465ADE79" w:rsidR="00C55547" w:rsidRPr="002D60D7" w:rsidRDefault="00C55547"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Reglamento (ES) Nr. 575/2013 254</w:t>
            </w:r>
            <w:r>
              <w:rPr>
                <w:rFonts w:ascii="Times New Roman" w:hAnsi="Times New Roman"/>
                <w:sz w:val="24"/>
              </w:rPr>
              <w:t xml:space="preserve"> straipsnis.</w:t>
            </w:r>
            <w:r>
              <w:rPr>
                <w:rStyle w:val="InstructionsTabelleText"/>
                <w:rFonts w:ascii="Times New Roman" w:hAnsi="Times New Roman"/>
                <w:sz w:val="24"/>
              </w:rPr>
              <w:t xml:space="preserve">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Reglamento (ES) Nr. 575/2013 259 ir 260</w:t>
            </w:r>
            <w:r>
              <w:rPr>
                <w:rFonts w:ascii="Times New Roman" w:hAnsi="Times New Roman"/>
                <w:sz w:val="24"/>
              </w:rPr>
              <w:t xml:space="preserve"> straipsniai.</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Reglamento (ES) Nr. 575/2013 261 ir 262</w:t>
            </w:r>
            <w:r>
              <w:rPr>
                <w:rFonts w:ascii="Times New Roman" w:hAnsi="Times New Roman"/>
                <w:sz w:val="24"/>
              </w:rPr>
              <w:t xml:space="preserve"> straipsniai.</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rFonts w:ascii="Times New Roman" w:hAnsi="Times New Roman"/>
                <w:sz w:val="24"/>
              </w:rPr>
            </w:pPr>
            <w:r>
              <w:rPr>
                <w:rFonts w:ascii="Times New Roman" w:hAnsi="Times New Roman"/>
                <w:sz w:val="24"/>
              </w:rPr>
              <w:t>0404</w:t>
            </w:r>
          </w:p>
        </w:tc>
        <w:tc>
          <w:tcPr>
            <w:tcW w:w="7874" w:type="dxa"/>
          </w:tcPr>
          <w:p w14:paraId="6AA67FFF"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Reglamento (ES) Nr. 575/2013 263 ir 264</w:t>
            </w:r>
            <w:r>
              <w:rPr>
                <w:rFonts w:ascii="Times New Roman" w:hAnsi="Times New Roman"/>
                <w:sz w:val="24"/>
              </w:rPr>
              <w:t xml:space="preserve"> straipsniai.</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VIDINIO VERTINIMO METODAS</w:t>
            </w:r>
          </w:p>
          <w:p w14:paraId="46E92693" w14:textId="2A1B6CC7"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Reglamento (ES) Nr. 575/2013 254 ir 265 straipsniai ir 266 straipsnio 5</w:t>
            </w:r>
            <w:r>
              <w:rPr>
                <w:rFonts w:ascii="Times New Roman" w:hAnsi="Times New Roman"/>
                <w:sz w:val="24"/>
              </w:rPr>
              <w:t xml:space="preserve"> dalis</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2D60D7" w:rsidRDefault="00A97C62" w:rsidP="004C445F">
            <w:pPr>
              <w:suppressAutoHyphens/>
              <w:spacing w:before="0" w:after="0"/>
              <w:jc w:val="left"/>
              <w:rPr>
                <w:rFonts w:ascii="Times New Roman" w:hAnsi="Times New Roman"/>
                <w:b/>
                <w:sz w:val="24"/>
                <w:u w:val="single"/>
              </w:rPr>
            </w:pPr>
            <w:r>
              <w:rPr>
                <w:rFonts w:ascii="Times New Roman" w:hAnsi="Times New Roman"/>
                <w:b/>
                <w:sz w:val="24"/>
                <w:u w:val="single"/>
              </w:rPr>
              <w:t>REIKALAVIMUS ATITINKANČIO NEVEIKSNIŲ POZICIJŲ PAKEITIMO VERTYBINIAIS POPIERIAIS DIDESNIO PRIORITETO SEGMENTAMS TAIKOMA KONKRETI TVARKA</w:t>
            </w:r>
          </w:p>
          <w:p w14:paraId="1D397AE3" w14:textId="76C348BD" w:rsidR="00A97C62" w:rsidRPr="002D60D7" w:rsidRDefault="00A97C62"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 xml:space="preserve">Reglamento (ES) Nr. 575/2013 </w:t>
            </w:r>
            <w:r>
              <w:rPr>
                <w:rStyle w:val="InstructionsTabelleText"/>
                <w:rFonts w:ascii="Times New Roman" w:hAnsi="Times New Roman"/>
                <w:sz w:val="24"/>
              </w:rPr>
              <w:t>269a</w:t>
            </w:r>
            <w:r>
              <w:rPr>
                <w:rFonts w:ascii="Times New Roman" w:hAnsi="Times New Roman"/>
                <w:sz w:val="24"/>
              </w:rPr>
              <w:t xml:space="preserve"> straipsnio 3 dalis.</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rFonts w:ascii="Times New Roman" w:hAnsi="Times New Roman"/>
                <w:sz w:val="24"/>
              </w:rPr>
            </w:pPr>
            <w:r>
              <w:rPr>
                <w:rFonts w:ascii="Times New Roman" w:hAnsi="Times New Roman"/>
                <w:sz w:val="24"/>
              </w:rPr>
              <w:t>0406</w:t>
            </w:r>
          </w:p>
        </w:tc>
        <w:tc>
          <w:tcPr>
            <w:tcW w:w="7874" w:type="dxa"/>
          </w:tcPr>
          <w:p w14:paraId="27B9523C" w14:textId="26593451"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KITA (RW = 1 250</w:t>
            </w:r>
            <w:r>
              <w:t xml:space="preserve"> </w:t>
            </w:r>
            <w:r>
              <w:rPr>
                <w:rFonts w:ascii="Times New Roman" w:hAnsi="Times New Roman"/>
                <w:b/>
                <w:sz w:val="24"/>
                <w:u w:val="single"/>
              </w:rPr>
              <w:t>%)</w:t>
            </w:r>
          </w:p>
          <w:p w14:paraId="0B94870A" w14:textId="0A4BBAC5"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lastRenderedPageBreak/>
              <w:t>Reglamento (ES) Nr. 575/2013 254 straipsnio 7</w:t>
            </w:r>
            <w:r>
              <w:rPr>
                <w:rFonts w:ascii="Times New Roman" w:hAnsi="Times New Roman"/>
                <w:sz w:val="24"/>
              </w:rPr>
              <w:t xml:space="preserve"> dalis.</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rFonts w:ascii="Times New Roman" w:hAnsi="Times New Roman"/>
                <w:sz w:val="24"/>
              </w:rPr>
            </w:pPr>
            <w:r>
              <w:rPr>
                <w:rFonts w:ascii="Times New Roman" w:hAnsi="Times New Roman"/>
                <w:sz w:val="24"/>
              </w:rPr>
              <w:lastRenderedPageBreak/>
              <w:t>0410–0420</w:t>
            </w:r>
          </w:p>
        </w:tc>
        <w:tc>
          <w:tcPr>
            <w:tcW w:w="7874" w:type="dxa"/>
          </w:tcPr>
          <w:p w14:paraId="78E183CC"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PRIEŠ APRIBOJIMĄ. ĮVERTINTOS GRYNOSIOS ILGOSIOS / TRUMPOSIOS POZICIJOS</w:t>
            </w:r>
          </w:p>
          <w:p w14:paraId="7E8A31C6" w14:textId="7928DA0B" w:rsidR="00C55547" w:rsidRPr="002D60D7" w:rsidRDefault="00C55547" w:rsidP="004C445F">
            <w:pPr>
              <w:suppressAutoHyphens/>
              <w:rPr>
                <w:rFonts w:ascii="Times New Roman" w:hAnsi="Times New Roman"/>
                <w:sz w:val="24"/>
              </w:rPr>
            </w:pPr>
            <w:r>
              <w:rPr>
                <w:rFonts w:ascii="Times New Roman" w:hAnsi="Times New Roman"/>
                <w:sz w:val="24"/>
              </w:rPr>
              <w:t xml:space="preserve">Reglamento (ES) Nr. 575/2013 338 straipsnis, neatsižvelgiant į to reglamento 335 straipsnyje numatytą pasirinkimo galimybę.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rFonts w:ascii="Times New Roman" w:hAnsi="Times New Roman"/>
                <w:sz w:val="24"/>
              </w:rPr>
            </w:pPr>
            <w:r>
              <w:rPr>
                <w:rFonts w:ascii="Times New Roman" w:hAnsi="Times New Roman"/>
                <w:sz w:val="24"/>
              </w:rPr>
              <w:t>0430–0440</w:t>
            </w:r>
          </w:p>
        </w:tc>
        <w:tc>
          <w:tcPr>
            <w:tcW w:w="7874" w:type="dxa"/>
          </w:tcPr>
          <w:p w14:paraId="00C8D0F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 APRIBOJIMO. ĮVERTINTOS GRYNOSIOS ILGOSIOS / TRUMPOSIOS POZICIJOS</w:t>
            </w:r>
          </w:p>
          <w:p w14:paraId="3304B399" w14:textId="2F41CA57" w:rsidR="00C55547" w:rsidRPr="002D60D7" w:rsidRDefault="00C55547" w:rsidP="004C445F">
            <w:pPr>
              <w:suppressAutoHyphens/>
              <w:rPr>
                <w:rFonts w:ascii="Times New Roman" w:hAnsi="Times New Roman"/>
                <w:sz w:val="24"/>
              </w:rPr>
            </w:pPr>
            <w:r>
              <w:rPr>
                <w:rFonts w:ascii="Times New Roman" w:hAnsi="Times New Roman"/>
                <w:sz w:val="24"/>
              </w:rPr>
              <w:t xml:space="preserve">Reglamento (ES) Nr. 575/2013 338 straipsnis, atsižvelgiant į to reglamento 335 straipsnyje numatytą pasirinkimo galimybę.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rFonts w:ascii="Times New Roman" w:hAnsi="Times New Roman"/>
                <w:sz w:val="24"/>
              </w:rPr>
            </w:pPr>
            <w:r>
              <w:rPr>
                <w:rFonts w:ascii="Times New Roman" w:hAnsi="Times New Roman"/>
                <w:sz w:val="24"/>
              </w:rPr>
              <w:t>0450</w:t>
            </w:r>
          </w:p>
        </w:tc>
        <w:tc>
          <w:tcPr>
            <w:tcW w:w="7874" w:type="dxa"/>
          </w:tcPr>
          <w:p w14:paraId="4210145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BENDRA NUOSAVŲ LĖŠŲ REIKALAVIMO SUMA</w:t>
            </w:r>
          </w:p>
          <w:p w14:paraId="58A6824C" w14:textId="7AE8FACA" w:rsidR="00733F21" w:rsidRPr="002D60D7" w:rsidRDefault="00C55547" w:rsidP="004C445F">
            <w:pPr>
              <w:suppressAutoHyphens/>
              <w:rPr>
                <w:rFonts w:ascii="Times New Roman" w:hAnsi="Times New Roman"/>
                <w:sz w:val="24"/>
              </w:rPr>
            </w:pPr>
            <w:r>
              <w:rPr>
                <w:rFonts w:ascii="Times New Roman" w:hAnsi="Times New Roman"/>
                <w:sz w:val="24"/>
              </w:rPr>
              <w:t>Nuosavų lėšų reikalavimas nustatomas kaip didesnioji iš šių sumų:</w:t>
            </w:r>
          </w:p>
          <w:p w14:paraId="6F610485" w14:textId="33CC9A69" w:rsidR="00733F21" w:rsidRPr="002D60D7" w:rsidRDefault="00A92865" w:rsidP="004C445F">
            <w:pPr>
              <w:suppressAutoHyphens/>
              <w:rPr>
                <w:rFonts w:ascii="Times New Roman" w:hAnsi="Times New Roman"/>
                <w:sz w:val="24"/>
              </w:rPr>
            </w:pPr>
            <w:r>
              <w:rPr>
                <w:rFonts w:ascii="Times New Roman" w:hAnsi="Times New Roman"/>
                <w:sz w:val="24"/>
              </w:rPr>
              <w:t>a) kapitalo poreikio specifinei rizikai padengti koeficientas, kuris būtų taikomas tik grynosioms ilgosioms pozicijoms (0430 skiltis);</w:t>
            </w:r>
          </w:p>
          <w:p w14:paraId="7DEA5D32" w14:textId="370772D1" w:rsidR="00C55547" w:rsidRPr="002D60D7" w:rsidRDefault="00A92865" w:rsidP="004C445F">
            <w:pPr>
              <w:suppressAutoHyphens/>
              <w:rPr>
                <w:rFonts w:ascii="Times New Roman" w:hAnsi="Times New Roman"/>
                <w:sz w:val="24"/>
              </w:rPr>
            </w:pPr>
            <w:r>
              <w:rPr>
                <w:rFonts w:ascii="Times New Roman" w:hAnsi="Times New Roman"/>
                <w:sz w:val="24"/>
              </w:rPr>
              <w:t>b) kapitalo poreikio specifinei rizikai padengti koeficientas, kuris būtų taikomas tik grynosioms trumposioms pozicijoms (0440 skiltis).</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Eilutės</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BENDRA POZICIJŲ SUMA</w:t>
            </w:r>
          </w:p>
          <w:p w14:paraId="47BDA358" w14:textId="43CE2ADE" w:rsidR="00C55547" w:rsidRPr="002D60D7" w:rsidRDefault="00C55547" w:rsidP="004C445F">
            <w:pPr>
              <w:suppressAutoHyphens/>
              <w:rPr>
                <w:rFonts w:ascii="Times New Roman" w:hAnsi="Times New Roman"/>
                <w:sz w:val="24"/>
              </w:rPr>
            </w:pPr>
            <w:r>
              <w:rPr>
                <w:rFonts w:ascii="Times New Roman" w:hAnsi="Times New Roman"/>
                <w:sz w:val="24"/>
              </w:rPr>
              <w:t>Bendra neapmokėta pozicijų (turimų koreliacinės prekybos portfelyje) suma, kurią nurodo įstaiga, atliekanti iniciatoriaus, investuotojo arba rėmėjo vaidmenį.</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ĮSTAIGA INICIATORĖ</w:t>
            </w:r>
          </w:p>
          <w:p w14:paraId="07F7FC7F" w14:textId="691C5D11" w:rsidR="00C55547" w:rsidRPr="002D60D7" w:rsidRDefault="00C55547" w:rsidP="004C445F">
            <w:pPr>
              <w:suppressAutoHyphens/>
              <w:rPr>
                <w:rFonts w:ascii="Times New Roman" w:hAnsi="Times New Roman"/>
                <w:sz w:val="24"/>
              </w:rPr>
            </w:pPr>
            <w:r>
              <w:rPr>
                <w:rFonts w:ascii="Times New Roman" w:hAnsi="Times New Roman"/>
                <w:sz w:val="24"/>
              </w:rPr>
              <w:t xml:space="preserve">Reglamento (ES) Nr. 575/2013 4 straipsnio 1 dalies 13 punktas.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ĮSTAIGA INVESTUOTOJA</w:t>
            </w:r>
          </w:p>
          <w:p w14:paraId="5507389D" w14:textId="574F527A" w:rsidR="00C55547" w:rsidRPr="002D60D7" w:rsidRDefault="00C55547" w:rsidP="004C445F">
            <w:pPr>
              <w:suppressAutoHyphens/>
              <w:rPr>
                <w:rFonts w:ascii="Times New Roman" w:hAnsi="Times New Roman"/>
                <w:sz w:val="24"/>
              </w:rPr>
            </w:pPr>
            <w:r>
              <w:rPr>
                <w:rFonts w:ascii="Times New Roman" w:hAnsi="Times New Roman"/>
                <w:sz w:val="24"/>
              </w:rPr>
              <w:t>Kredito įstaiga, pakeitimo vertybiniais popieriais sandoryje, kurio atžvilgiu ji nėra nei iniciatorė, nei rėmėja, nei pirminė skolintoja, turinti pakeitimo vertybiniais popieriais poziciją.</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ĮSTAIGA RĖMĖJA</w:t>
            </w:r>
          </w:p>
          <w:p w14:paraId="65D6B605" w14:textId="002B3FBA" w:rsidR="005C14B0" w:rsidRPr="002D60D7" w:rsidRDefault="00E64BFE" w:rsidP="004C445F">
            <w:pPr>
              <w:suppressAutoHyphens/>
              <w:rPr>
                <w:rFonts w:ascii="Times New Roman" w:hAnsi="Times New Roman"/>
                <w:sz w:val="24"/>
              </w:rPr>
            </w:pPr>
            <w:r>
              <w:rPr>
                <w:rFonts w:ascii="Times New Roman" w:hAnsi="Times New Roman"/>
                <w:sz w:val="24"/>
              </w:rPr>
              <w:t xml:space="preserve"> Reglamento (ES) Nr. 575/2013 4 straipsnio 1 dalies 14 punktas. </w:t>
            </w:r>
          </w:p>
          <w:p w14:paraId="7911CCA2" w14:textId="77777777" w:rsidR="00C55547" w:rsidRPr="002D60D7" w:rsidRDefault="005F3BBE" w:rsidP="004C445F">
            <w:pPr>
              <w:suppressAutoHyphens/>
              <w:rPr>
                <w:rFonts w:ascii="Times New Roman" w:hAnsi="Times New Roman"/>
                <w:sz w:val="24"/>
              </w:rPr>
            </w:pPr>
            <w:r>
              <w:rPr>
                <w:rFonts w:ascii="Times New Roman" w:hAnsi="Times New Roman"/>
                <w:sz w:val="24"/>
              </w:rPr>
              <w:t>Įstaiga rėmėja, vertybiniais popieriais keičianti ir nuosavą turtą, užpildo įstaigai iniciatorei skirtas eilutes, pateikdama informaciją apie vertybiniais popieriais keičiamą nuosavą turtą.</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 0060 ir 0090</w:t>
            </w:r>
          </w:p>
        </w:tc>
        <w:tc>
          <w:tcPr>
            <w:tcW w:w="8204" w:type="dxa"/>
          </w:tcPr>
          <w:p w14:paraId="65F68A65"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PAKEITIMO VERTYBINIAIS POPIERIAIS POZICIJOS</w:t>
            </w:r>
          </w:p>
          <w:p w14:paraId="3E2839F4" w14:textId="5E373E76" w:rsidR="00C55547" w:rsidRPr="002D60D7" w:rsidRDefault="00C55547" w:rsidP="004C445F">
            <w:pPr>
              <w:suppressAutoHyphens/>
              <w:rPr>
                <w:rFonts w:ascii="Times New Roman" w:hAnsi="Times New Roman"/>
                <w:sz w:val="24"/>
              </w:rPr>
            </w:pPr>
            <w:r>
              <w:rPr>
                <w:rFonts w:ascii="Times New Roman" w:hAnsi="Times New Roman"/>
                <w:sz w:val="24"/>
              </w:rPr>
              <w:lastRenderedPageBreak/>
              <w:t>Koreliacinės prekybos portfelis apima pakeitimo vertybiniais popieriais pozicijas, n-tojo įsipareigojimų neįvykdymo kredito išvestines finansines priemones ir gali apimti kitas apsidraudimo pozicijas, kurios atitinka Reglamento (ES) Nr. 575/2013 338 straipsnio 2 ir 3 dalyse nustatytus kriterijus.</w:t>
            </w:r>
          </w:p>
          <w:p w14:paraId="284429BF" w14:textId="77777777" w:rsidR="00C55547" w:rsidRPr="002D60D7" w:rsidRDefault="00C55547" w:rsidP="004C445F">
            <w:pPr>
              <w:suppressAutoHyphens/>
              <w:rPr>
                <w:rFonts w:ascii="Times New Roman" w:hAnsi="Times New Roman"/>
                <w:sz w:val="24"/>
              </w:rPr>
            </w:pPr>
            <w:r>
              <w:rPr>
                <w:rFonts w:ascii="Times New Roman" w:hAnsi="Times New Roman"/>
                <w:sz w:val="24"/>
              </w:rPr>
              <w:t>Pakeitimo vertybiniais popieriais išvestinių finansinių priemonių pozicijos, kurios sudaro proporcingą dalį, taip pat pozicijos, kuriomis apdraudžiamos CTP pozicijos, yra įtraukiamos į eilutę „Kitos CTP pozicijos“.</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8204" w:type="dxa"/>
          </w:tcPr>
          <w:p w14:paraId="5251DCC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N-TOJO ĮSIPAREIGOJIMŲ NEĮVYKDYMO KREDITO IŠVESTINĖS FINANSINĖS PRIEMONĖS</w:t>
            </w:r>
          </w:p>
          <w:p w14:paraId="298FC0AB" w14:textId="5115C116" w:rsidR="00C55547" w:rsidRPr="002D60D7" w:rsidRDefault="00C55547" w:rsidP="004C445F">
            <w:pPr>
              <w:suppressAutoHyphens/>
              <w:rPr>
                <w:rFonts w:ascii="Times New Roman" w:hAnsi="Times New Roman"/>
                <w:sz w:val="24"/>
              </w:rPr>
            </w:pPr>
            <w:r>
              <w:rPr>
                <w:rFonts w:ascii="Times New Roman" w:hAnsi="Times New Roman"/>
                <w:sz w:val="24"/>
              </w:rPr>
              <w:t>Čia nurodomos n-tojo įsipareigojimų neįvykdymo kredito išvestinės finansinės priemonės, apdraustos n-tojo įsipareigojimų neįvykdymo kredito išvestinėmis finansinėmis priemonėmis pagal Reglamento (ES) Nr. 575/2013 347 straipsnį.</w:t>
            </w:r>
          </w:p>
          <w:p w14:paraId="0ADF3C10" w14:textId="08643021" w:rsidR="00C55547" w:rsidRPr="002D60D7" w:rsidRDefault="00C55547" w:rsidP="004C445F">
            <w:pPr>
              <w:suppressAutoHyphens/>
              <w:rPr>
                <w:rFonts w:ascii="Times New Roman" w:hAnsi="Times New Roman"/>
                <w:sz w:val="24"/>
              </w:rPr>
            </w:pPr>
            <w:r>
              <w:rPr>
                <w:rFonts w:ascii="Times New Roman" w:hAnsi="Times New Roman"/>
                <w:sz w:val="24"/>
              </w:rPr>
              <w:t>Įstaigos iniciatorės, investuotojos ir rėmėjos pozicijos netinka, kad būtų įtrauktos į n-tojo įsipareigojimų neįvykdymo kredito išvestines finansines priemones. Todėl n-tojo įsipareigojimų neįvykdymo išvestinės finansinės priemonės neskirstomos taip, kaip pakeitimo vertybiniais popieriais pozicijos.</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ir 0120</w:t>
            </w:r>
          </w:p>
        </w:tc>
        <w:tc>
          <w:tcPr>
            <w:tcW w:w="8204" w:type="dxa"/>
          </w:tcPr>
          <w:p w14:paraId="1BEC531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KITOS CTP POZICIJOS</w:t>
            </w:r>
          </w:p>
          <w:p w14:paraId="543C28DD" w14:textId="77777777" w:rsidR="00C55547" w:rsidRPr="002D60D7" w:rsidRDefault="00C55547" w:rsidP="004C445F">
            <w:pPr>
              <w:suppressAutoHyphens/>
              <w:rPr>
                <w:rFonts w:ascii="Times New Roman" w:hAnsi="Times New Roman"/>
                <w:sz w:val="24"/>
              </w:rPr>
            </w:pPr>
            <w:r>
              <w:rPr>
                <w:rFonts w:ascii="Times New Roman" w:hAnsi="Times New Roman"/>
                <w:sz w:val="24"/>
              </w:rPr>
              <w:t xml:space="preserve">Įtraukiamos šios pozicijos: </w:t>
            </w:r>
          </w:p>
          <w:p w14:paraId="009DBFDC" w14:textId="71465A30" w:rsidR="002272E2"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pakeitimo vertybiniais popieriais išvestinių finansinių priemonių pozicijos, kurios sudaro proporcingą dalį, taip pat pozicijos, kuriomis apdraudžiamos CTP pozicijos;</w:t>
            </w:r>
          </w:p>
          <w:p w14:paraId="6225E087" w14:textId="0E1CE11C" w:rsidR="002272E2" w:rsidRPr="002D60D7" w:rsidRDefault="00C55547"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CTP pozicijos, apdraustos kredito išvestinėmis finansinėmis priemonėmis pagal Reglamento (ES) Nr. 575/2013 346 straipsnį;</w:t>
            </w:r>
          </w:p>
          <w:p w14:paraId="37D9C26F" w14:textId="118835A5" w:rsidR="00C55547"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kitos pozicijos, kurios atitinka Reglamento (ES) Nr. 575/2013 338 straipsnio 3 dalį.</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917575"/>
      <w:r>
        <w:rPr>
          <w:rFonts w:ascii="Times New Roman" w:hAnsi="Times New Roman"/>
          <w:sz w:val="24"/>
          <w:u w:val="none"/>
        </w:rPr>
        <w:t>5.</w:t>
      </w:r>
      <w:r w:rsidRPr="000468F5">
        <w:rPr>
          <w:u w:val="none"/>
        </w:rPr>
        <w:tab/>
      </w:r>
      <w:r>
        <w:rPr>
          <w:rFonts w:ascii="Times New Roman" w:hAnsi="Times New Roman"/>
          <w:sz w:val="24"/>
        </w:rPr>
        <w:t>C 21.00. Rinkos rizika. Standartizuotas metodas, taikomas nuosavybės vertybinių popierių pozicijos rizikai</w:t>
      </w:r>
      <w:bookmarkEnd w:id="94"/>
      <w:bookmarkEnd w:id="95"/>
      <w:bookmarkEnd w:id="96"/>
      <w:bookmarkEnd w:id="97"/>
      <w:bookmarkEnd w:id="98"/>
      <w:r>
        <w:rPr>
          <w:rFonts w:ascii="Times New Roman" w:hAnsi="Times New Roman"/>
          <w:sz w:val="24"/>
        </w:rPr>
        <w:t xml:space="preserve"> (MKR SA EQU)</w:t>
      </w:r>
      <w:bookmarkEnd w:id="99"/>
      <w:bookmarkEnd w:id="100"/>
    </w:p>
    <w:p w14:paraId="28B3FACA" w14:textId="344FF54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917576"/>
      <w:r>
        <w:rPr>
          <w:rFonts w:ascii="Times New Roman" w:hAnsi="Times New Roman"/>
          <w:sz w:val="24"/>
          <w:u w:val="none"/>
        </w:rPr>
        <w:t>5.1</w:t>
      </w:r>
      <w:r w:rsidRPr="000468F5">
        <w:rPr>
          <w:rFonts w:ascii="Times New Roman" w:hAnsi="Times New Roman"/>
          <w:sz w:val="24"/>
          <w:u w:val="none"/>
        </w:rPr>
        <w:t>.</w:t>
      </w:r>
      <w:r w:rsidRPr="000468F5">
        <w:rPr>
          <w:u w:val="none"/>
        </w:rPr>
        <w:tab/>
      </w:r>
      <w:r>
        <w:rPr>
          <w:rFonts w:ascii="Times New Roman" w:hAnsi="Times New Roman"/>
          <w:sz w:val="24"/>
        </w:rPr>
        <w:t>Bendrosios pastabos</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Šiame šablone prašoma pateikti informaciją apie pozicijas ir jas atitinkančius nuosavų lėšų reikalavimus nuosavybės vertybinių popierių pozicijos, kuri yra prekybos knygoje ir kuriai taikomas standartizuotas metodas, rizikai padengti.</w:t>
      </w:r>
    </w:p>
    <w:p w14:paraId="3AF5EC7C" w14:textId="570FEDBA" w:rsidR="00B828CC" w:rsidRPr="002D60D7" w:rsidRDefault="000B0B09" w:rsidP="00E172EA">
      <w:pPr>
        <w:pStyle w:val="InstructionsText2"/>
        <w:numPr>
          <w:ilvl w:val="0"/>
          <w:numId w:val="29"/>
        </w:numPr>
        <w:suppressAutoHyphens/>
      </w:pPr>
      <w:r>
        <w:t xml:space="preserve">Šis šablonas užpildomas atskirai nurodant bendrą sumą ir duomenis pagal nekintamą, iš anksto nustatytą rinkų sąrašą, kurį sudaro: Bulgarija, Čekija, Danija, Egiptas, Vengrija, Islandija, Lichtenšteinas, Norvegija, Lenkija, Rumunija, Švedija, Jungtinė Karalystė, Albanija, Japonija, Šiaurės Makedonijos Respublika, Rusijos Federacija, Serbija, Šveicarija, Turkija, Ukraina, JAV, euro zona ir dar vienas šablonas visoms kitoms rinkoms. Pagal šį informacijos pateikimo reikalavimą sąvoka „rinka“ suprantama kaip „šalis“ (išskyrus euro </w:t>
      </w:r>
      <w:r>
        <w:lastRenderedPageBreak/>
        <w:t>zonai priklausančias šalis, žr. Komisijos deleguotąjį reglamentą (ES) Nr. 525/2014</w:t>
      </w:r>
      <w:r>
        <w:rPr>
          <w:rStyle w:val="FootnoteReference"/>
        </w:rPr>
        <w:footnoteReference w:id="2"/>
      </w:r>
      <w:r>
        <w:t>).</w:t>
      </w:r>
    </w:p>
    <w:p w14:paraId="077E1A41" w14:textId="7E9E2DA4"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917577"/>
      <w:r>
        <w:rPr>
          <w:rFonts w:ascii="Times New Roman" w:hAnsi="Times New Roman"/>
          <w:sz w:val="24"/>
          <w:u w:val="none"/>
        </w:rPr>
        <w:t>5.2.</w:t>
      </w:r>
      <w:r w:rsidRPr="000468F5">
        <w:rPr>
          <w:u w:val="none"/>
        </w:rPr>
        <w:tab/>
      </w:r>
      <w:r>
        <w:rPr>
          <w:rFonts w:ascii="Times New Roman" w:hAnsi="Times New Roman"/>
          <w:sz w:val="24"/>
        </w:rPr>
        <w:t>Nurodymai dėl konkrečių pozicijų</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Skiltys</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VISOS POZICIJOS (ILGOSIOS IR TRUMPOSIOS)</w:t>
            </w:r>
          </w:p>
          <w:p w14:paraId="754457ED" w14:textId="6411188D"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Reglamento (ES) Nr. 575/2013 102 straipsnis ir 105 straipsnio 1 dalis. </w:t>
            </w:r>
          </w:p>
          <w:p w14:paraId="59EE061F" w14:textId="31066C7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Tai bendrosios pozicijos, neatėmus priemonių, bet atskaičius platinamas pozicijas, kurias yra pasirašiusios ar kurių nupirkimą patvirtino trečiosios šalys, kaip nurodyta to reglamento 345 straipsnio 1 dalies pirmos pastraipos antrame sakinyje.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GRYNOSIOS POZICIJOS (ILGOSIOS IR TRUMPOSIOS)</w:t>
            </w:r>
          </w:p>
          <w:p w14:paraId="72A57BC7" w14:textId="1B6E0BBC"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Reglamento (ES) Nr. 575/2013 327, 329, 332, 341 ir 345 straipsniai.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D60D7"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KOEFICIENTAS</w:t>
            </w:r>
          </w:p>
          <w:p w14:paraId="5B62E698" w14:textId="1711E988"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Tos grynosios pozicijos, kurioms pagal įvairius Reglamento (ES) Nr. 575/2013 trečios dalies IV antraštinės dalies 2 skyriuje aptartus metodus yra taikomas kapitalo poreikio koeficientas. Kapitalo poreikio koeficientas apskaičiuojamas kiekvienai nacionalinei rinkai atskirai. Akcijų indeksų ateities sandorių, nurodytų Reglamento (ES) Nr. 575/2013 344 straipsnio 4 dalies antrame sakinyje, pozicijos į šią skiltį neįtraukiamos.</w:t>
            </w:r>
          </w:p>
          <w:p w14:paraId="7C352B8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w:t>
            </w:r>
          </w:p>
          <w:p w14:paraId="75CDA27D" w14:textId="087571B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Atitinkamų pozicijų nuosavų lėšų reikalavimas pagal Reglamento (ES) Nr. 575/2013 trečios dalies IV antraštinės dalies 2 skyrių.</w:t>
            </w:r>
          </w:p>
          <w:p w14:paraId="6CDF917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14:paraId="33E7C378" w14:textId="4FC9A55B" w:rsidR="00E64BFE" w:rsidRPr="002D60D7" w:rsidRDefault="000B0B09" w:rsidP="004C445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Reglamento (ES) Nr. 575/2013 92 straipsnio 6 dalies b punktas. </w:t>
            </w:r>
          </w:p>
          <w:p w14:paraId="5D42B3B3" w14:textId="77777777"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Rezultatas, gautas nuosavų lėšų reikalavimus padauginus iš 12,5.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NUOSAVYBĖS VERTYBINIAI POPIERIAI PREKYBOS KNYGOJE</w:t>
            </w:r>
          </w:p>
          <w:p w14:paraId="030F1935" w14:textId="785DC9DE"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Nuosavų lėšų reikalavimai pozicijos rizikai padengti, kaip nurodyta Reglamento (ES) Nr. 575/2013 92 straipsnio 3 dalies b punkto i papunktyje ir to reglamento trečios dalies IV antraštinės dalies 2 skyriaus 3 skirsnyje.</w:t>
            </w:r>
          </w:p>
        </w:tc>
      </w:tr>
      <w:tr w:rsidR="000B0B09" w:rsidRPr="002D60D7" w14:paraId="06FCC7F1" w14:textId="77777777" w:rsidTr="00672D2A">
        <w:tc>
          <w:tcPr>
            <w:tcW w:w="1008" w:type="dxa"/>
          </w:tcPr>
          <w:p w14:paraId="33E8BCC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0020–0040</w:t>
            </w:r>
          </w:p>
        </w:tc>
        <w:tc>
          <w:tcPr>
            <w:tcW w:w="8204" w:type="dxa"/>
          </w:tcPr>
          <w:p w14:paraId="029ED2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BENDROJI RIZIKA</w:t>
            </w:r>
          </w:p>
          <w:p w14:paraId="21F94335" w14:textId="41165158"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Nuosavybės vertybinių popierių pozicijos, susijusios su bendrąja rizika (Reglamento (ES) Nr. 575/2013 343 straipsnis), ir jas atitinkantis nuosavų lėšų reikalavimas pagal to reglamento trečios dalies IV antraštinės dalies 2 skyriaus 3 skirsnį. </w:t>
            </w:r>
          </w:p>
          <w:p w14:paraId="729400AD" w14:textId="77777777" w:rsidR="001E0C8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Abu skirstymai (0021 / 0022 eilutės ir 0030 / 0040 eilutės) yra susiję su visomis pozicijomis, kurios susijusios su bendrąja rizika.</w:t>
            </w:r>
          </w:p>
          <w:p w14:paraId="32EAD513" w14:textId="77777777" w:rsidR="004E2725"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0021 ir 0022 eilutėse informaciją prašoma suskirstyti pagal priemones. </w:t>
            </w:r>
          </w:p>
          <w:p w14:paraId="75FD06DA" w14:textId="77777777"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Tik 0030 ir 0040 eilutėse pateikiamas skirstymas yra naudojamas nuosavų lėšų reikalavimams apskaičiuoti.</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Išvestinės finansinės priemonės</w:t>
            </w:r>
          </w:p>
          <w:p w14:paraId="561EFF21" w14:textId="424FAD2D"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Išvestinės finansinės priemonės, įtraukiamos apskaičiuojant prekybos knygos pozicijų nuosavybės vertybinių popierių riziką, atitinkamais atvejais atsižvelgiant į Reglamento (ES) Nr. 575/2013 329 ir 332 straipsnius.</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Kitas turtas ir įsipareigojimai</w:t>
            </w:r>
          </w:p>
          <w:p w14:paraId="21AC79DF"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Kitos priemonės, ne išvestinės finansinės priemonės, įtraukiamos apskaičiuojant prekybos knygos pozicijų nuosavybės vertybinių popierių riziką.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Biržiniai akcijų indeksų ateities sandoriai, kurie yra plačiai diversifikuoti ir kuriems yra taikomas specialus metodas</w:t>
            </w:r>
          </w:p>
          <w:p w14:paraId="56A22316" w14:textId="77777777" w:rsidR="005C14B0"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Biržiniai akcijų indeksų ateities sandoriai, kurie yra plačiai diversifikuoti ir kuriems yra taikomas specialus metodas pagal Komisijos įgyvendinimo reglamentą (ES) Nr. 945/2014</w:t>
            </w:r>
            <w:r>
              <w:rPr>
                <w:rStyle w:val="FootnoteReference"/>
              </w:rPr>
              <w:footnoteReference w:id="3"/>
            </w:r>
            <w:r>
              <w:rPr>
                <w:rFonts w:ascii="Times New Roman" w:hAnsi="Times New Roman"/>
                <w:sz w:val="24"/>
              </w:rPr>
              <w:t>.</w:t>
            </w:r>
          </w:p>
          <w:p w14:paraId="2528F1AA" w14:textId="103B7503"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Tos pozicijos yra susijusios tik su bendrąja rizika ir atitinkamai nenurodomos 0050 eilutėje.</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Kiti nuosavybės vertybiniai popieriai, išskyrus biržinius akcijų indeksų ateities sandorius, kurie yra plačiai diversifikuoti</w:t>
            </w:r>
          </w:p>
          <w:p w14:paraId="17542C2D" w14:textId="5412BB06"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Kitos nuosavybės vertybinių popierių pozicijos, kurios yra susijusios su specifine rizika, ir jas atitinkantys nuosavų lėšų reikalavimai pagal Reglamento (ES) Nr. 575/2013 343 straipsnį, įskaitant akcijų indeksų ateities sandorius, kuriems taikoma to reglamento 344 straipsnio 3 dalis.</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SPECIFINĖ RIZIKA</w:t>
            </w:r>
          </w:p>
          <w:p w14:paraId="4CFFEA2D" w14:textId="693CE9A9"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Nuosavybės vertybinių popierių pozicijos, kurios yra susijusios su specifine rizika, ir jas atitinkantis nuosavų lėšų reikalavimas pagal Reglamento (ES) Nr. 575/2013 342 straipsnį, neįskaitant akcijų indeksų ateities sandorių, kuriems taikomas to reglamento 344 straipsnio 4 dalies antras sakinys, pozicijų.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PAPILDOMI REIKALAVIMAI PASIRINKIMO SANDORIAMS (NE DELTA RIZIKA)</w:t>
            </w:r>
          </w:p>
          <w:p w14:paraId="2552C107" w14:textId="66B48CCE"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Reglamento (ES) Nr. 575/2013 329 straipsnio 2 ir 3 dalys. </w:t>
            </w:r>
          </w:p>
          <w:p w14:paraId="72C3FAC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Papildomi reikalavimai pasirinkimo sandoriams, susijusiems su ne delta rizika, nurodomi pagal skaičiavimui taikytą metodą.</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917578"/>
      <w:r>
        <w:rPr>
          <w:rFonts w:ascii="Times New Roman" w:hAnsi="Times New Roman"/>
          <w:sz w:val="24"/>
          <w:u w:val="none"/>
        </w:rPr>
        <w:t>6.</w:t>
      </w:r>
      <w:r w:rsidRPr="000468F5">
        <w:rPr>
          <w:u w:val="none"/>
        </w:rPr>
        <w:tab/>
      </w:r>
      <w:r>
        <w:rPr>
          <w:rFonts w:ascii="Times New Roman" w:hAnsi="Times New Roman"/>
          <w:sz w:val="24"/>
        </w:rPr>
        <w:t>C 22.00. Rinkos rizika. Standartizuoti metodai, taikomi užsienio valiutos kurso rizikai</w:t>
      </w:r>
      <w:bookmarkEnd w:id="115"/>
      <w:bookmarkEnd w:id="116"/>
      <w:bookmarkEnd w:id="117"/>
      <w:bookmarkEnd w:id="118"/>
      <w:bookmarkEnd w:id="119"/>
      <w:r>
        <w:rPr>
          <w:rFonts w:ascii="Times New Roman" w:hAnsi="Times New Roman"/>
          <w:sz w:val="24"/>
        </w:rPr>
        <w:t xml:space="preserve"> (MKR SA FX)</w:t>
      </w:r>
      <w:bookmarkEnd w:id="120"/>
      <w:bookmarkEnd w:id="121"/>
    </w:p>
    <w:p w14:paraId="70FD2A29" w14:textId="503A292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917579"/>
      <w:r>
        <w:rPr>
          <w:rFonts w:ascii="Times New Roman" w:hAnsi="Times New Roman"/>
          <w:sz w:val="24"/>
          <w:u w:val="none"/>
        </w:rPr>
        <w:t>6.1.</w:t>
      </w:r>
      <w:r w:rsidRPr="000468F5">
        <w:rPr>
          <w:u w:val="none"/>
        </w:rPr>
        <w:tab/>
      </w:r>
      <w:r>
        <w:rPr>
          <w:rFonts w:ascii="Times New Roman" w:hAnsi="Times New Roman"/>
          <w:sz w:val="24"/>
        </w:rPr>
        <w:t>Bendrosios pastabos</w:t>
      </w:r>
      <w:bookmarkEnd w:id="122"/>
      <w:bookmarkEnd w:id="123"/>
      <w:bookmarkEnd w:id="124"/>
      <w:bookmarkEnd w:id="125"/>
      <w:bookmarkEnd w:id="126"/>
      <w:bookmarkEnd w:id="127"/>
      <w:bookmarkEnd w:id="128"/>
    </w:p>
    <w:p w14:paraId="3B4750B2" w14:textId="2C7BE8FA" w:rsidR="00F71DF2" w:rsidRPr="002D60D7" w:rsidRDefault="00A807E1" w:rsidP="00E172EA">
      <w:pPr>
        <w:pStyle w:val="InstructionsText2"/>
        <w:numPr>
          <w:ilvl w:val="0"/>
          <w:numId w:val="29"/>
        </w:numPr>
        <w:suppressAutoHyphens/>
      </w:pPr>
      <w:r>
        <w:t>Šiame šablone investicinės įmonės pateikia informaciją apie kiekvienos valiutos pozicijas (įskaitant ataskaitose nurodomą valiutą) ir atitinkamus nuosavų lėšų reikalavimus užsienio valiutos kurso rizikai padengti pagal standartizuotą metodą. Pozicija apskaičiuojama kiekvienai valiutai (įskaitant EUR), auksui ir KIS pozicijoms.</w:t>
      </w:r>
    </w:p>
    <w:p w14:paraId="39EF826C" w14:textId="60814CC7" w:rsidR="000B0B09" w:rsidRPr="002D60D7" w:rsidRDefault="00B31D8A" w:rsidP="00E172EA">
      <w:pPr>
        <w:pStyle w:val="InstructionsText2"/>
        <w:numPr>
          <w:ilvl w:val="0"/>
          <w:numId w:val="29"/>
        </w:numPr>
        <w:suppressAutoHyphens/>
      </w:pPr>
      <w:r>
        <w:t>Šio šablono 0100–0470 eilutės pildomos, jei investicinės įmonės turi leidimą vykdyti Europos Parlamento ir Tarybos direktyvos 2014/65/ES</w:t>
      </w:r>
      <w:r>
        <w:rPr>
          <w:rStyle w:val="FootnoteReference"/>
        </w:rPr>
        <w:footnoteReference w:id="4"/>
      </w:r>
      <w:r>
        <w:t xml:space="preserve"> I priedo A skirsnio 3 arba 6 veiklą, net jei toms investicinėms įmonėms nereikia apskaičiuoti nuosavų lėšų reikalavimų užsienio valiutos kurso rizikai padengti pagal Reglamento (ES) Nr. 575/2013 351 straipsnį. Šiuose papildomuose straipsniuose, 0100–0470 eilutėse nurodomos visos pozicijos ataskaitose nurodoma valiuta, nepaisant to, ar į jas atsižvelgiama taikant Reglamento (ES) Nr. 575/2013 354 straipsnį. Papildomų šablono straipsnių 0130–0470 eilutės užpildomos atskirai visoms Sąjungos valstybių narių valiutoms, šioms valiutoms: GBP, USD, CHF, JPY, RUB, TRY, AUD, CAD, RSD, ALL, UAH, MKD, EGP, ARS, BRL, MXN, HKD, ICK, TWD, NZD, NOK, SGD, KRW, CNY, taip pat visoms kitoms valiutoms.</w:t>
      </w:r>
    </w:p>
    <w:p w14:paraId="346B4732" w14:textId="0BDCE786"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917580"/>
      <w:r>
        <w:rPr>
          <w:rFonts w:ascii="Times New Roman" w:hAnsi="Times New Roman"/>
          <w:sz w:val="24"/>
          <w:u w:val="none"/>
        </w:rPr>
        <w:t>6.2.</w:t>
      </w:r>
      <w:r w:rsidRPr="000468F5">
        <w:rPr>
          <w:u w:val="none"/>
        </w:rPr>
        <w:tab/>
      </w:r>
      <w:r>
        <w:rPr>
          <w:rFonts w:ascii="Times New Roman" w:hAnsi="Times New Roman"/>
          <w:sz w:val="24"/>
        </w:rPr>
        <w:t>Nurodymai dėl konkrečių pozicijų</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Skiltys</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POZICIJOS (ILGOSIOS IR TRUMPOSIOS)</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7206E339"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Bendrosios pozicijos, kurias sudaro turtas, gautinos sumos ir panašūs straipsniai, nurodyti Reglamento (ES) Nr. 575/2013 352 straipsnio 1 dalyje.</w:t>
            </w:r>
          </w:p>
          <w:p w14:paraId="754DB1BB" w14:textId="2FEAA29E" w:rsidR="000B0B09" w:rsidRPr="002D60D7" w:rsidRDefault="00BB22D4"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Pagal Reglamento (ES) Nr. 575/2013 352 straipsnio 2 dalį, gavus kompetentingų institucijų leidimą, nenurodomos pozicijos, kurias įstaiga prisiėmė, kad apsidraustų nuo neigiamo valiutos kurso poveikio jos koeficientams pagal to reglamento 92 straipsnio 1 dalį, taip pat pozicijos, kurios yra susijusios su straipsniais, jau atskaitytais skaičiuojant nuosavas lėšas.</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GRYNOSIOS POZICIJOS (ILGOSIOS IR TRUMPOSIOS)</w:t>
            </w:r>
          </w:p>
          <w:p w14:paraId="5D5BCFB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63D2EB9" w14:textId="110C5AF2" w:rsidR="00283B5F"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Reglamento (ES) Nr. 575/2013 352 straipsnio 3 dalis, 352 straipsnio 4 dalies pirmi du sakiniai ir 353 straipsnis.</w:t>
            </w:r>
          </w:p>
          <w:p w14:paraId="1436375E" w14:textId="14467FBC"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Grynosios pozicijos yra apskaičiuojamos kiekviena valiuta pagal to reglamento 352 straipsnio 1 dalį. Todėl vienu metu gali būti nurodomos ir ilgosios, ir trumposios pozicijos.</w:t>
            </w:r>
          </w:p>
          <w:p w14:paraId="7EF6C18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874" w:type="dxa"/>
          </w:tcPr>
          <w:p w14:paraId="23461A4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KOEFICIENTAS</w:t>
            </w:r>
          </w:p>
          <w:p w14:paraId="536B211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4FE1162B" w14:textId="273CC04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Reglamento (ES) Nr. 575/2013 352 straipsnio 4 dalies trečias sakinys ir 353 ir 354 straipsniai. </w:t>
            </w:r>
          </w:p>
          <w:p w14:paraId="091C4CE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POZICIJOS, KURIOMS TAIKOMAS KAPITALO POREIKIO KOEFICIENTAS (ILGOSIOS IR TRUMPOSIOS)</w:t>
            </w:r>
          </w:p>
          <w:p w14:paraId="1CA17503"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Ilgosios ir trumposios grynosios pozicijos kiekviena valiuta yra apskaičiuojamos iš bendros ilgųjų pozicijų sumos atimant bendrą trumpųjų pozicijų sumą.</w:t>
            </w:r>
          </w:p>
          <w:p w14:paraId="7912A4F1"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Ilgosios grynosios pozicijos kiekvienos operacijos valiuta yra sudedamos, taip apskaičiuojant ilgąją grynąją poziciją ta valiuta.</w:t>
            </w:r>
          </w:p>
          <w:p w14:paraId="5B4E9BD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Trumposios grynosios pozicijos kiekvienos operacijos valiuta yra sudedamos, taip apskaičiuojant trumpąją grynąją poziciją ta valiuta.</w:t>
            </w:r>
          </w:p>
          <w:p w14:paraId="71BEB09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Nesuderintos pozicijos kitomis valiutomis nei ataskaitose nurodoma valiuta yra pridedamos prie pozicijų, kurioms taikomas kapitalo poreikio kitomis valiutomis koeficientas (030 eilutė) 060 arba 070 skiltyje pagal tai, ar jos yra trumposios, ar ilgosios.</w:t>
            </w:r>
          </w:p>
          <w:p w14:paraId="3B8AB235"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KOEFICIENTAS (SUDERINTOS)</w:t>
            </w:r>
          </w:p>
          <w:p w14:paraId="1787EA62"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5437627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Artimai susijusių valiutų suderintos pozicijos.</w:t>
            </w:r>
          </w:p>
          <w:p w14:paraId="6BC8E67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w:t>
            </w:r>
          </w:p>
          <w:p w14:paraId="4108E69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828234" w14:textId="7D891B7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Atitinkamos pozicijos kapitalo poreikio koeficientas pagal Reglamento (ES) Nr. 575/2013 trečios dalies IV antraštinės dalies 3 skyrių. </w:t>
            </w:r>
          </w:p>
          <w:p w14:paraId="62C9AE7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14:paraId="1005789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Reglamento (ES) Nr. 575/2013 92 straipsnio 6 dalies b punktas.</w:t>
            </w:r>
          </w:p>
          <w:p w14:paraId="74C1A53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Rezultatas, gautas nuosavų lėšų reikalavimus padauginus iš 12,5. </w:t>
            </w:r>
          </w:p>
          <w:p w14:paraId="43ECFCA3" w14:textId="77777777" w:rsidR="00DE48EF" w:rsidRPr="002D60D7"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POZICIJŲ SUMA</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78AA241E" w:rsidR="000B0B09"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Visos pozicijos kitomis valiutomis nei ataskaitose nurodoma valiuta ir tos pozicijos ataskaitose nurodoma valiuta, į kurias atsižvelgiama taikant Reglamento (ES) Nr. 575/2013 354 straipsnį, ir atitinkami valiutų kursų rizikai skirti nuosavų lėšų reikalavimai, nurodyti to reglamento 92 straipsnio 3 dalies c </w:t>
            </w:r>
            <w:r>
              <w:rPr>
                <w:rFonts w:ascii="Times New Roman" w:hAnsi="Times New Roman"/>
                <w:sz w:val="24"/>
              </w:rPr>
              <w:lastRenderedPageBreak/>
              <w:t>punkto i papunktyje, atsižvelgiant į Reglamento (ES) Nr. 575/2013 352 straipsnio 2 ir 4 dalis (dėl keitimo į ataskaitose nurodomą valiutą).</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14:paraId="49A2740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ARTIMAI TARPUSAVYJE SUSIJUSIOS VALIUTOS</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323891C1"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Pozicijos ir atitinkami nuosavų lėšų reikalavimai Reglamento (ES) Nr. 575/2013 354 straipsnyje nurodytoms artimai tarpusavyje susijusioms valiutoms.</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Artimai tarpusavyje susijusios valiutos. </w:t>
            </w:r>
            <w:r>
              <w:rPr>
                <w:rFonts w:ascii="Times New Roman" w:hAnsi="Times New Roman"/>
                <w:b/>
                <w:i/>
                <w:sz w:val="24"/>
                <w:u w:val="single"/>
              </w:rPr>
              <w:t>Dalis, kurią atitinka</w:t>
            </w:r>
            <w:r>
              <w:rPr>
                <w:rFonts w:ascii="Times New Roman" w:hAnsi="Times New Roman"/>
                <w:b/>
                <w:sz w:val="24"/>
                <w:u w:val="single"/>
              </w:rPr>
              <w:t>: ataskaitose nurodoma valiuta</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3B11B1C0" w:rsidR="00491F4D"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Pozicijos ataskaitose nurodoma valiuta, į kurias atsižvelgiama apskaičiuojant kapitalo reikalavimus pagal Reglamento (ES) Nr. 575/2013 354 straipsnį.</w:t>
            </w:r>
          </w:p>
          <w:p w14:paraId="1727C5A3"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KITOS VALIUTOS (įskaitant KIS, vertinamus kitomis valiutomis)</w:t>
            </w:r>
          </w:p>
          <w:p w14:paraId="1677D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4128E68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Pozicijos ir jų atitinkami nuosavų lėšų reikalavimai valiutoms, kurioms taikoma bendra Reglamento (ES) Nr. 575/2013 351 straipsnyje ir 352 straipsnio 2 ir 4 dalyse nurodyta tvarka.</w:t>
            </w:r>
          </w:p>
          <w:p w14:paraId="0D0C93F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2C612C05"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Informacijos teikimas apie KIS, vertinamus kitomis valiutomis pagal Reglamento (ES) Nr. 575/2013 353 straipsnį:</w:t>
            </w:r>
          </w:p>
          <w:p w14:paraId="77B7A43F" w14:textId="77777777" w:rsidR="000B0B09" w:rsidRPr="002D60D7" w:rsidRDefault="000B0B09"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KIS, kurie apskaičiuojant kapitalo reikalavimus vertinami kita valiuta, taikoma dvejopa tvarka:</w:t>
            </w:r>
          </w:p>
          <w:p w14:paraId="5B250982" w14:textId="5A8D3F48"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a) modifikuotas aukso metodas, jeigu KIS investicijų kryptis nėra žinoma (taikoma tiems KIS, kurie turi būti pridėti prie įstaigos bendros atvirosios užsienio valiutos kurso pozicijos sumos);</w:t>
            </w:r>
          </w:p>
          <w:p w14:paraId="36EAAD8C" w14:textId="570B6ECE"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b) jeigu KIS investicijų kryptis yra žinoma, KIS pridedami prie bendros atvirosios užsienio valiutos kurso pozicijos (ilgosios arba trumposios, tai priklauso nuo KIS veiklos krypties).</w:t>
            </w:r>
          </w:p>
          <w:p w14:paraId="6410AE39" w14:textId="77777777"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Teikiant informaciją apie KIS atsižvelgiama į kapitalo reikalavimų apskaičiavimą.</w:t>
            </w:r>
          </w:p>
          <w:p w14:paraId="6EF89CCB"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AUKSAS</w:t>
            </w:r>
          </w:p>
          <w:p w14:paraId="3DD20C3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A74E970"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Pozicijos ir jų atitinkami nuosavų lėšų reikalavimai valiutoms, kurioms taikoma bendra Reglamento (ES) Nr. 575/2013 351 straipsnyje ir 352 straipsnio 2 ir 4 dalyse nurodyta tvarka. </w:t>
            </w:r>
          </w:p>
          <w:p w14:paraId="2363385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PAPILDOMI REIKALAVIMAI PASIRINKIMO SANDORIAMS (NE DELTA RIZIKA)</w:t>
            </w:r>
          </w:p>
          <w:p w14:paraId="409B80C0" w14:textId="3123C3E4"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Reglamento (ES) Nr. 575/2013 352 straipsnio 5 ir 6 dalys. </w:t>
            </w:r>
          </w:p>
          <w:p w14:paraId="28A72F0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0C3DAE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Papildomi reikalavimai pasirinkimo sandoriams, susijusiems su ne delta rizika, nurodomi suskirstyti pagal jų skaičiavimui taikytą metodą. </w:t>
            </w:r>
          </w:p>
          <w:p w14:paraId="64B10AE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Bendros pozicijų sumos suskirstymas (įskaitant ataskaitose nurodomą valiutą) pagal pozicijų rūšis</w:t>
            </w:r>
          </w:p>
          <w:p w14:paraId="35F84DA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1C8EDD8"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Bendra pozicijų suma suskirstoma į išvestinių finansinių priemonių, kito turto ir įsipareigojimų ir nebalansinius straipsnius.</w:t>
            </w:r>
          </w:p>
          <w:p w14:paraId="645944F1"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1" w:type="dxa"/>
          </w:tcPr>
          <w:p w14:paraId="2B5ED8B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Kitas turtas ir įsipareigojimai, išskyrus nebalansinius straipsnius ir išvestines finansines priemones</w:t>
            </w:r>
          </w:p>
          <w:p w14:paraId="70ABA94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48B1F95" w14:textId="77777777" w:rsidR="00DE48EF"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Čia nurodomos į 0110 arba 0120 eilutę neįtrauktos pozicijos. </w:t>
            </w:r>
          </w:p>
          <w:p w14:paraId="68474F8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Nebalansiniai straipsniai</w:t>
            </w:r>
          </w:p>
          <w:p w14:paraId="4FE41A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7CE2DA10" w14:textId="441EBF45"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Į Reglamento (ES) Nr. 575/2013 352 taikymo sritį įtraukti straipsniai, nepriklausomai nuo tų straipsnių valiutos, kurie yra įtraukti į to reglamento I priedą, išskyrus įtrauktuosius kaip vertybinių popierių įsigijimo finansavimo sandoriai ir ilgalaikiai atsiskaitymo sandoriai arba straipsniai pagal įpareigojančius kryžminės produktų užskaitos susitarimus.</w:t>
            </w:r>
          </w:p>
          <w:p w14:paraId="25D49F5C"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Išvestinės finansinės priemonės</w:t>
            </w:r>
          </w:p>
          <w:p w14:paraId="7B6CC85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74E14E9" w14:textId="61FBE98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Pozicijos, įvertintos pagal Reglamento (ES) Nr. 575/2013 352 straipsnį.</w:t>
            </w:r>
          </w:p>
          <w:p w14:paraId="2984F2C2" w14:textId="77777777" w:rsidR="00902EFC" w:rsidRPr="002D60D7" w:rsidRDefault="00902EFC"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PAPILDOMI STRAIPSNIAI. VALIUTOS POZICIJOS</w:t>
            </w:r>
          </w:p>
          <w:p w14:paraId="77A906DE" w14:textId="77777777" w:rsidR="000B0B09" w:rsidRPr="002D60D7" w:rsidRDefault="000B0B09" w:rsidP="004C445F">
            <w:pPr>
              <w:suppressAutoHyphens/>
              <w:autoSpaceDE w:val="0"/>
              <w:autoSpaceDN w:val="0"/>
              <w:adjustRightInd w:val="0"/>
              <w:spacing w:before="0" w:after="0"/>
              <w:rPr>
                <w:rFonts w:ascii="Times New Roman" w:hAnsi="Times New Roman"/>
                <w:b/>
                <w:bCs/>
                <w:sz w:val="24"/>
                <w:lang w:eastAsia="de-DE"/>
              </w:rPr>
            </w:pPr>
          </w:p>
          <w:p w14:paraId="31EAE6A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Papildomi šablono straipsniai užpildomi atskirai visoms Sąjungos valstybių narių valiutoms, GBP, USD, CHF, JPY, RUB, TRY, AUD, CAD, RSD, ALL, UAH, MKD, EGP, ARS, BRL, MXN, HKD, ICK, TWD, NZD, NOK, SGD, KRW, CNY, taip pat visoms kitoms valiutoms. </w:t>
            </w:r>
          </w:p>
          <w:p w14:paraId="09723CAF" w14:textId="77777777" w:rsidR="003E0950" w:rsidRPr="002D60D7" w:rsidRDefault="003E0950" w:rsidP="004C445F">
            <w:pPr>
              <w:suppressAutoHyphens/>
              <w:autoSpaceDE w:val="0"/>
              <w:autoSpaceDN w:val="0"/>
              <w:adjustRightInd w:val="0"/>
              <w:spacing w:before="0" w:after="0"/>
              <w:rPr>
                <w:rFonts w:ascii="Times New Roman" w:hAnsi="Times New Roman"/>
                <w:sz w:val="24"/>
                <w:lang w:eastAsia="de-DE"/>
              </w:rPr>
            </w:pPr>
          </w:p>
          <w:p w14:paraId="7255FEE1" w14:textId="50F8E32F" w:rsidR="00A433ED" w:rsidRPr="002D60D7" w:rsidRDefault="00A433E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Į 0470 eilutę įtraukiamos aukso pozicijos ir KIS pozicijos, vertinamos kaip atskira valiuta pagal Reglamento (ES) Nr. 575/2013 353 straipsnio 3 dalį.</w:t>
            </w:r>
          </w:p>
          <w:p w14:paraId="2A795EB2" w14:textId="3FA18151" w:rsidR="0055144E" w:rsidRPr="002D60D7" w:rsidRDefault="0055144E" w:rsidP="004C445F">
            <w:pPr>
              <w:suppressAutoHyphens/>
              <w:autoSpaceDE w:val="0"/>
              <w:autoSpaceDN w:val="0"/>
              <w:adjustRightInd w:val="0"/>
              <w:spacing w:before="0" w:after="0"/>
              <w:rPr>
                <w:rStyle w:val="InstructionsTabelleText"/>
                <w:rFonts w:ascii="Times New Roman" w:hAnsi="Times New Roman"/>
                <w:sz w:val="24"/>
              </w:rPr>
            </w:pPr>
          </w:p>
        </w:tc>
      </w:tr>
    </w:tbl>
    <w:p w14:paraId="6BA92730" w14:textId="77777777" w:rsidR="000B0B09" w:rsidRPr="002D60D7" w:rsidRDefault="000B0B09" w:rsidP="004C445F">
      <w:pPr>
        <w:suppressAutoHyphens/>
        <w:rPr>
          <w:rFonts w:ascii="Times New Roman" w:hAnsi="Times New Roman"/>
          <w:sz w:val="24"/>
        </w:rPr>
      </w:pPr>
    </w:p>
    <w:p w14:paraId="53515718" w14:textId="54673A1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917581"/>
      <w:r>
        <w:rPr>
          <w:rFonts w:ascii="Times New Roman" w:hAnsi="Times New Roman"/>
          <w:sz w:val="24"/>
          <w:u w:val="none"/>
        </w:rPr>
        <w:t>7.</w:t>
      </w:r>
      <w:r w:rsidRPr="000468F5">
        <w:rPr>
          <w:u w:val="none"/>
        </w:rPr>
        <w:tab/>
      </w:r>
      <w:r>
        <w:rPr>
          <w:rFonts w:ascii="Times New Roman" w:hAnsi="Times New Roman"/>
          <w:sz w:val="24"/>
        </w:rPr>
        <w:t>C 23.00. Rinkos rizika. Standartizuoti metodai, taikomi biržos prekėms</w:t>
      </w:r>
      <w:bookmarkEnd w:id="137"/>
      <w:bookmarkEnd w:id="138"/>
      <w:bookmarkEnd w:id="139"/>
      <w:bookmarkEnd w:id="140"/>
      <w:bookmarkEnd w:id="141"/>
      <w:r>
        <w:rPr>
          <w:rFonts w:ascii="Times New Roman" w:hAnsi="Times New Roman"/>
          <w:sz w:val="24"/>
        </w:rPr>
        <w:t xml:space="preserve"> (MKR SA COM)</w:t>
      </w:r>
      <w:bookmarkEnd w:id="142"/>
      <w:bookmarkEnd w:id="143"/>
    </w:p>
    <w:p w14:paraId="72871AE4" w14:textId="0AF1A4E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917582"/>
      <w:r>
        <w:rPr>
          <w:rFonts w:ascii="Times New Roman" w:hAnsi="Times New Roman"/>
          <w:sz w:val="24"/>
          <w:u w:val="none"/>
        </w:rPr>
        <w:t>7.1.</w:t>
      </w:r>
      <w:r w:rsidRPr="000468F5">
        <w:rPr>
          <w:u w:val="none"/>
        </w:rPr>
        <w:tab/>
      </w:r>
      <w:r>
        <w:rPr>
          <w:rFonts w:ascii="Times New Roman" w:hAnsi="Times New Roman"/>
          <w:sz w:val="24"/>
        </w:rPr>
        <w:t>Bendrosios pastabos</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Šiame šablone prašoma pateikti informaciją apie biržos prekių pozicijas ir atitinkamus nuosavų lėšų reikalavimus pagal standartizuotą metodą.</w:t>
      </w:r>
    </w:p>
    <w:p w14:paraId="0C8765B1" w14:textId="613B31E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917583"/>
      <w:r>
        <w:rPr>
          <w:rFonts w:ascii="Times New Roman" w:hAnsi="Times New Roman"/>
          <w:sz w:val="24"/>
          <w:u w:val="none"/>
        </w:rPr>
        <w:t>7.2.</w:t>
      </w:r>
      <w:r w:rsidRPr="000468F5">
        <w:rPr>
          <w:u w:val="none"/>
        </w:rPr>
        <w:tab/>
      </w:r>
      <w:r>
        <w:rPr>
          <w:rFonts w:ascii="Times New Roman" w:hAnsi="Times New Roman"/>
          <w:sz w:val="24"/>
        </w:rPr>
        <w:t>Nurodymai dėl konkrečių pozicijų</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Skiltys</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VISOS POZICIJOS (ILGOSIOS IR TRUMPOSIOS)</w:t>
            </w:r>
          </w:p>
          <w:p w14:paraId="4B99A78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60BC9B3E" w14:textId="0549CCC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Bendrosios ilgosios / trumposios pozicijos, laikomos tos pačios biržos prekės pozicijomis pagal Reglamento (ES) Nr. 575/2013 357 straipsnio 4 dalį (taip pat žr. to reglamento 359 straipsnio 1 dalį).</w:t>
            </w:r>
          </w:p>
          <w:p w14:paraId="3E9C720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0030–0040 </w:t>
            </w:r>
          </w:p>
        </w:tc>
        <w:tc>
          <w:tcPr>
            <w:tcW w:w="7876" w:type="dxa"/>
          </w:tcPr>
          <w:p w14:paraId="7FA580C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GRYNOSIOS POZICIJOS (ILGOSIOS IR TRUMPOSIOS)</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7B41C090"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Kaip nurodyta Reglamento (ES) Nr. 575/2013 357 straipsnio 3 dalyje.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KURIOMS TAIKOMAS KAPITALO POREIKIO KOEFICIENTAS</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Tos grynosios pozicijos, kurioms pagal įvairius Reglamento (ES) Nr. 575/2013 trečios dalies IV antraštinės dalies 4 skyriuje aptartus metodus yra taikomas kapitalo poreikio koeficientas.</w:t>
            </w:r>
          </w:p>
          <w:p w14:paraId="762BD2E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w:t>
            </w:r>
          </w:p>
          <w:p w14:paraId="545A19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7E2236D4" w:rsidR="000B0B09" w:rsidRPr="002D60D7" w:rsidRDefault="000B0B09"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Atitinkamų pozicijų nuosavų lėšų reikalavimas, apskaičiuotas pagal Reglamento (ES) Nr. 575/2013 trečios dalies IV antraštinės dalies 4 skyrių.</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14:paraId="35864C1F"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Reglamento (ES) Nr. 575/2013 92 straipsnio 6 dalies b punktas. </w:t>
            </w:r>
          </w:p>
          <w:p w14:paraId="67EADC1A" w14:textId="77777777" w:rsidR="000B0B09" w:rsidRPr="002D60D7"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Rezultatas, gautas nuosavų lėšų reikalavimus padauginus iš 12,5.</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Eilutės</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BIRŽOS PREKIŲ POZICIJŲ SUMA</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7E4205C6"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Biržos prekių pozicijos ir jų atitinkami nuosavų lėšų reikalavimai rinkos rizikai padengti pagal Reglamento (ES) Nr. 575/2013 92 straipsnio 4 dalies c punktą ir to reglamento trečios dalies IV antraštinės dalies 4 skyrių.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POZICIJOS PAGAL BIRŽOS PREKIŲ KATEGORIJĄ</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09121CF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Teikiant informaciją biržos prekės suskirstomos į keturias biržos prekių grupes, nurodytas Reglamento (ES) Nr. 575/2013 361 straipsnio 2 lentelėje.</w:t>
            </w:r>
          </w:p>
          <w:p w14:paraId="04BB531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TERMINŲ ATITIKIMO METODAS</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0EBD6A7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Biržos prekių pozicijos, kurioms taikomas Reglamento (ES) Nr. 575/2013 359 straipsnyje nurodytas terminų atitikimo metodas.</w:t>
            </w:r>
          </w:p>
          <w:p w14:paraId="018E7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IŠPLĖSTASIS TERMINŲ ATITIKIMO METODAS</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13AA387E"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Biržos prekių pozicijos, kurioms taikomas Reglamento (ES) Nr. 575/2013 361 straipsnyje nurodytas išplėstasis terminų atitikimo metodas.</w:t>
            </w:r>
          </w:p>
          <w:p w14:paraId="4CC42EB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SUPAPRASTINTAS METODAS</w:t>
            </w:r>
          </w:p>
          <w:p w14:paraId="739EF26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7485AEDA"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Biržos prekių pozicijos, kurioms taikomas Reglamento (ES) Nr. 575/2013 360 straipsnyje nurodytas supaprastintas metodas. </w:t>
            </w:r>
          </w:p>
          <w:p w14:paraId="72D24CC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0100–0140</w:t>
            </w:r>
          </w:p>
        </w:tc>
        <w:tc>
          <w:tcPr>
            <w:tcW w:w="7875" w:type="dxa"/>
          </w:tcPr>
          <w:p w14:paraId="1AB2469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PAPILDOMI REIKALAVIMAI PASIRINKIMO SANDORIAMS (NE DELTA RIZIKA)</w:t>
            </w:r>
          </w:p>
          <w:p w14:paraId="444B7110" w14:textId="08585130"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Reglamento (ES) Nr. 575/2013 358 straipsnio 4 dalis. </w:t>
            </w:r>
          </w:p>
          <w:p w14:paraId="1D3D5AF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Papildomi reikalavimai pasirinkimo sandoriams, susijusiems su ne delta rizika, nurodomi pagal skaičiavimui taikytą metodą.</w:t>
            </w:r>
          </w:p>
          <w:p w14:paraId="55D77BA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4C445F">
      <w:pPr>
        <w:pStyle w:val="Instructionsberschrift2"/>
        <w:numPr>
          <w:ilvl w:val="0"/>
          <w:numId w:val="0"/>
        </w:numPr>
        <w:suppressAutoHyphens/>
        <w:ind w:left="357" w:hanging="357"/>
        <w:rPr>
          <w:rFonts w:ascii="Times New Roman" w:hAnsi="Times New Roman"/>
          <w:sz w:val="24"/>
        </w:rPr>
      </w:pPr>
      <w:bookmarkStart w:id="158" w:name="_Toc210917584"/>
      <w:r>
        <w:rPr>
          <w:rFonts w:ascii="Times New Roman" w:hAnsi="Times New Roman"/>
          <w:sz w:val="24"/>
        </w:rPr>
        <w:t>8.</w:t>
      </w:r>
      <w:r>
        <w:tab/>
      </w:r>
      <w:r>
        <w:rPr>
          <w:rFonts w:ascii="Times New Roman" w:hAnsi="Times New Roman"/>
          <w:sz w:val="24"/>
        </w:rPr>
        <w:t>C 24.00. Rinkos rizikos vidaus modelis (MKR IM)</w:t>
      </w:r>
      <w:bookmarkEnd w:id="158"/>
    </w:p>
    <w:p w14:paraId="4EE11059" w14:textId="6831F2FC"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917585"/>
      <w:r>
        <w:rPr>
          <w:rFonts w:ascii="Times New Roman" w:hAnsi="Times New Roman"/>
          <w:sz w:val="24"/>
          <w:u w:val="none"/>
        </w:rPr>
        <w:t>8.1.</w:t>
      </w:r>
      <w:r w:rsidRPr="000468F5">
        <w:rPr>
          <w:u w:val="none"/>
        </w:rPr>
        <w:tab/>
      </w:r>
      <w:r>
        <w:rPr>
          <w:rFonts w:ascii="Times New Roman" w:hAnsi="Times New Roman"/>
          <w:sz w:val="24"/>
        </w:rPr>
        <w:t>Bendrosios pastabos</w:t>
      </w:r>
      <w:bookmarkEnd w:id="159"/>
      <w:bookmarkEnd w:id="160"/>
    </w:p>
    <w:p w14:paraId="2B3D1454" w14:textId="708078C0" w:rsidR="005970B6" w:rsidRPr="002D60D7" w:rsidRDefault="005970B6" w:rsidP="00E172EA">
      <w:pPr>
        <w:pStyle w:val="InstructionsText2"/>
        <w:numPr>
          <w:ilvl w:val="0"/>
          <w:numId w:val="29"/>
        </w:numPr>
        <w:suppressAutoHyphens/>
      </w:pPr>
      <w:r>
        <w:t>Šiame šablone VaR ir VaR nepalankiausiomis sąlygomis (sVaR) reikšmės suskirstomos pagal įvairią rinkos riziką (skolos, nuosavybės vertybinių popierių, užsienio valiutos kurso, biržos prekių kainų) ir pateikiami kiti, apskaičiuojant nuosavų lėšų reikalavimus svarbūs, duomenys.</w:t>
      </w:r>
    </w:p>
    <w:p w14:paraId="6141A6DE" w14:textId="106A2D11" w:rsidR="005970B6" w:rsidRDefault="005970B6" w:rsidP="00E172EA">
      <w:pPr>
        <w:pStyle w:val="InstructionsText2"/>
        <w:numPr>
          <w:ilvl w:val="0"/>
          <w:numId w:val="29"/>
        </w:numPr>
        <w:suppressAutoHyphens/>
      </w:pPr>
      <w:r>
        <w:t xml:space="preserve">Paprastai tai priklauso nuo investicinių įmonių modelio struktūros, ar bendrosios ir specifinės rizikos duomenys gali būti nustatyti ir pateikti atskirai, ar tik kaip bendra suma. Tą patį galima pasakyti apie VaR / VaR nepalankiausiomis sąlygomis (Stress-VaR) išskaidymą pagal rizikos kategoriją (palūkanų normos riziką, nuosavybės vertybinių popierių riziką, biržos prekių kainos riziką ir užsienio valiutos kurso riziką). Įstaiga gali neteikti išskaidytų duomenų, jeigu ta įstaiga įrodo, kad tuos duomenis teikti būtų pernelyg sudėtinga. </w:t>
      </w:r>
    </w:p>
    <w:p w14:paraId="2EAB7003" w14:textId="035AB67F"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917586"/>
      <w:r>
        <w:rPr>
          <w:rFonts w:ascii="Times New Roman" w:hAnsi="Times New Roman"/>
          <w:sz w:val="24"/>
          <w:u w:val="none"/>
        </w:rPr>
        <w:t>8.2.</w:t>
      </w:r>
      <w:r w:rsidRPr="000468F5">
        <w:rPr>
          <w:u w:val="none"/>
        </w:rPr>
        <w:tab/>
      </w:r>
      <w:r>
        <w:rPr>
          <w:rFonts w:ascii="Times New Roman" w:hAnsi="Times New Roman"/>
          <w:sz w:val="24"/>
        </w:rPr>
        <w:t>Nurodymai dėl konkrečių pozicijų</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Skiltys</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7095CD1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Vertės pokyčio rizika (VaR)</w:t>
            </w:r>
          </w:p>
          <w:p w14:paraId="3DE9F1A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VaR – maksimalus galimas nuostolis, kuris susidarytų dėl kainų pokyčio su nustatyta tikimybe per konkretų laikotarpį.</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1C8EDD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Multiplikatoriaus koeficientas (mc) x praėjusių 60 darbo dienų VaR vidurkis (VaRavg)</w:t>
            </w:r>
          </w:p>
          <w:p w14:paraId="04584C5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Reglamento (ES) Nr. 575/2013 364 straipsnio 1 dalies a punkto ii papunktis ir 365 straipsnio 1 dalis. </w:t>
            </w:r>
          </w:p>
          <w:p w14:paraId="0DEB05BA"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4723F4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Praėjusios dienos VaR (VaRt-1)</w:t>
            </w:r>
          </w:p>
          <w:p w14:paraId="4954CEF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Reglamento (ES) Nr. 575/2013 364 straipsnio 1 dalies a punkto ii papunktis ir 365 straipsnio 1 dalis. </w:t>
            </w:r>
          </w:p>
          <w:p w14:paraId="645E0D45"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4BD64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nepalankiausiomis sąlygomis</w:t>
            </w:r>
          </w:p>
          <w:p w14:paraId="60CDE98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VaR nepalankiausiomis sąlygomis – didžiausias galimas nuostolis dėl kainų pokyčio su nustatyta tikimybe per konkretų laikotarpį, naudojant įvestis, </w:t>
            </w:r>
            <w:r>
              <w:rPr>
                <w:rFonts w:ascii="Times New Roman" w:hAnsi="Times New Roman"/>
                <w:sz w:val="24"/>
              </w:rPr>
              <w:lastRenderedPageBreak/>
              <w:t>suderintas su nepertraukiamo labai nepalankių finansinių sąlygų 12 mėnesių laikotarpio duomenimis, susijusiais su įstaigos portfeliu.</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869" w:type="dxa"/>
          </w:tcPr>
          <w:p w14:paraId="629F86A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Multiplikatoriaus koeficientas (ms) x praėjusių 60 darbo dienų vidurkis (SVaRavg)</w:t>
            </w:r>
          </w:p>
          <w:p w14:paraId="1CFE4B08"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Reglamento (ES) Nr. 575/2013 364 straipsnio 1 dalies b punkto ii papunktis ir 365 straipsnio 1 dalis.</w:t>
            </w:r>
            <w:r>
              <w:rPr>
                <w:rStyle w:val="InstructionsTabelleberschrift"/>
                <w:rFonts w:ascii="Times New Roman" w:hAnsi="Times New Roman"/>
                <w:sz w:val="24"/>
              </w:rPr>
              <w:t xml:space="preserve"> </w:t>
            </w:r>
          </w:p>
          <w:p w14:paraId="77989826"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470B121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Paskutinis turimas matas (SVaRt-1)</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Reglamento (ES) Nr. 575/2013 364 straipsnio 1 dalies b punkto i papunktis ir 365 straipsnio 1 dalis. </w:t>
            </w:r>
          </w:p>
          <w:p w14:paraId="5E60C64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A6B8E3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PAPILDOMOS ĮSIPAREIGOJIMŲ NEĮVYKDYMO RIZIKOS IR PASIKEITIMO RIZIKOS KAPITALO POREIKIO KOEFICIENTAS</w:t>
            </w:r>
          </w:p>
          <w:p w14:paraId="5B3AF066" w14:textId="72000B27" w:rsidR="005970B6" w:rsidRPr="002D60D7" w:rsidRDefault="005970B6" w:rsidP="004C445F">
            <w:pPr>
              <w:suppressAutoHyphens/>
              <w:rPr>
                <w:rFonts w:ascii="Times New Roman" w:hAnsi="Times New Roman"/>
                <w:b/>
                <w:bCs/>
                <w:sz w:val="24"/>
                <w:u w:val="single"/>
              </w:rPr>
            </w:pPr>
            <w:r>
              <w:rPr>
                <w:rFonts w:ascii="Times New Roman" w:hAnsi="Times New Roman"/>
                <w:sz w:val="24"/>
              </w:rPr>
              <w:t xml:space="preserve">Papildomos įsipareigojimų neįvykdymo rizikos ir pasikeitimo rizikos kapitalo poreikio koeficientas – maksimalus galimas nuostolis dėl kainų pokyčio, susijusio su įsipareigojimų neįvykdymo ir pasikeitimo rizika, apskaičiuotas pagal Reglamento (ES) Nr. 575/2013 364 straipsnio 2 dalies b punktą kartu su trečios dalies IV antraštinės dalies 5 skyriaus 4 skirsniu.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48A1B02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savaičių mato vidurkis</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Reglamento (ES) Nr. 575/2013 364 straipsnio 2 dalies b punkto ii papunktis kartu su trečios dalies IV antraštinės dalies 5 skyriaus 4 skirsniu.</w:t>
            </w:r>
          </w:p>
          <w:p w14:paraId="4E5E6B9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4DAC2B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Paskutinis matas</w:t>
            </w:r>
          </w:p>
          <w:p w14:paraId="776D80B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Reglamento (ES) Nr. 575/2013 364 straipsnio 2 dalies b punkto i papunktis kartu su trečios dalies IV antraštinės dalies 5 skyriaus 4 skirsniu.</w:t>
            </w:r>
          </w:p>
          <w:p w14:paraId="2DB84E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1C6A0111"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VISŲ KAINŲ RIZIKOS KAPITALO POREIKIO KOEFICIENTAS CTP</w:t>
            </w:r>
          </w:p>
          <w:p w14:paraId="29B7ABA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1E696B6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APATINĖ RIBA</w:t>
            </w:r>
          </w:p>
          <w:p w14:paraId="4D4AA5D6" w14:textId="77777777" w:rsidR="005970B6" w:rsidRPr="002D60D7" w:rsidRDefault="005970B6" w:rsidP="004C445F">
            <w:pPr>
              <w:suppressAutoHyphens/>
              <w:rPr>
                <w:rFonts w:ascii="Times New Roman" w:hAnsi="Times New Roman"/>
                <w:sz w:val="24"/>
              </w:rPr>
            </w:pPr>
            <w:r>
              <w:rPr>
                <w:rFonts w:ascii="Times New Roman" w:hAnsi="Times New Roman"/>
                <w:sz w:val="24"/>
              </w:rPr>
              <w:t>Reglamento (ES) Nr. 575/2013 364 straipsnio 3 dalies c punktas.</w:t>
            </w:r>
          </w:p>
          <w:p w14:paraId="43C8E4E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8 % kapitalo poreikio koeficiento, kuris būtų apskaičiuojamas pagal Reglamento (ES) Nr. 575/2013 338 straipsnio 1 dalį visoms pozicijoms, kurioms taikomas kapitalo poreikio „visiems kainų rizikos veiksniams“ koeficientas.</w:t>
            </w:r>
            <w:r>
              <w:rPr>
                <w:rFonts w:ascii="Times New Roman" w:hAnsi="Times New Roman"/>
                <w:b/>
                <w:sz w:val="24"/>
                <w:u w:val="single"/>
              </w:rPr>
              <w:t xml:space="preserve"> </w:t>
            </w:r>
          </w:p>
          <w:p w14:paraId="0D02237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7CEDB94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SAVAIČIŲ MATO VIDURKIS IR PASKUTINIS MATAS</w:t>
            </w:r>
          </w:p>
          <w:p w14:paraId="46EA9990" w14:textId="77777777" w:rsidR="005970B6" w:rsidRPr="002D60D7" w:rsidRDefault="005970B6" w:rsidP="004C445F">
            <w:pPr>
              <w:suppressAutoHyphens/>
              <w:autoSpaceDE w:val="0"/>
              <w:autoSpaceDN w:val="0"/>
              <w:adjustRightInd w:val="0"/>
              <w:spacing w:after="0"/>
              <w:rPr>
                <w:rFonts w:ascii="Times New Roman" w:hAnsi="Times New Roman"/>
                <w:bCs/>
                <w:sz w:val="24"/>
              </w:rPr>
            </w:pPr>
            <w:r>
              <w:rPr>
                <w:rFonts w:ascii="Times New Roman" w:hAnsi="Times New Roman"/>
                <w:sz w:val="24"/>
              </w:rPr>
              <w:t>Reglamento (ES) Nr. 575/2013 364 straipsnio 3 dalies b punktas.</w:t>
            </w:r>
          </w:p>
          <w:p w14:paraId="3111F404" w14:textId="77777777" w:rsidR="005970B6" w:rsidRPr="002D60D7"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30EB7A67"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PASKUTINIS MATAS</w:t>
            </w:r>
          </w:p>
          <w:p w14:paraId="54C3A200" w14:textId="77777777" w:rsidR="005970B6" w:rsidRPr="002D60D7" w:rsidRDefault="005970B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Reglamento (ES) Nr. 575/2013 364 straipsnio 3 dalies a punktas.</w:t>
            </w:r>
          </w:p>
          <w:p w14:paraId="702AB9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154C34A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NUOSAVŲ LĖŠŲ REIKALAVIMAI</w:t>
            </w:r>
          </w:p>
          <w:p w14:paraId="278D1894" w14:textId="31D5182C"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lastRenderedPageBreak/>
              <w:t xml:space="preserve">Visų rizikos veiksnių nuosavų lėšų reikalavimai, nurodyti Reglamento (ES) Nr. 575/2013 364 straipsnyje, atsižvelgiant į koreliacijos poveikį, jei taikoma, taip pat į papildomą įsipareigojimų neįvykdymo ir pasikeitimo riziką, visus kainų rizikos veiksnius pagal CTP, bet neįskaitant pakeitimo vertybiniais popieriais kapitalo poreikio koeficientų, taikomų pakeitimui vertybiniais popieriais ir n-tojo įsipareigojimų neįvykdymo kredito išvestinei finansinei priemonei pagal to reglamento 364 straipsnio 2 dalį.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0130</w:t>
            </w:r>
          </w:p>
        </w:tc>
        <w:tc>
          <w:tcPr>
            <w:tcW w:w="7869" w:type="dxa"/>
          </w:tcPr>
          <w:p w14:paraId="191025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RIZIKOS POZICIJOS SUMA</w:t>
            </w:r>
          </w:p>
          <w:p w14:paraId="1B83D6B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Reglamento (ES) Nr. 575/2013 92 straipsnio 6 dalies b punktas. </w:t>
            </w:r>
          </w:p>
          <w:p w14:paraId="0C045673" w14:textId="570D1A6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Rezultatas, gautas nuosavų lėšų reikalavimus padauginus iš 12,5.</w:t>
            </w:r>
          </w:p>
          <w:p w14:paraId="1D75252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69330FF8"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Nukrypimų skaičius (per 250 praėjusių darbo dienų)</w:t>
            </w:r>
          </w:p>
          <w:p w14:paraId="66F88BE9"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Kaip nurodyta Reglamento (ES) Nr. 575/2013 366 straipsnyje.</w:t>
            </w:r>
          </w:p>
          <w:p w14:paraId="681C5C48" w14:textId="5946ADCD"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Nurodomas nukrypimų, kuriais remiantis nustatomas padidėjimo koeficientas, skaičius. Kai pagal Reglamento (ES) Nr. 575/2013 500c straipsnį investicinėms įmonėms leidžiama apskaičiuojant padidėjimo koeficientą neįtraukti tam tikrų nukrypimų, šioje skiltyje nurodytų nukrypimų skaičius pateikiamas neįskaičiuojant tų neįtrauktų nukrypimų.</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26532024"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VaR multiplikatoriaus koeficientas (mc) ir SVaR multiplikatoriaus koeficientas (ms)</w:t>
            </w:r>
          </w:p>
          <w:p w14:paraId="5E04C211" w14:textId="77777777"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Kaip nurodyta Reglamento (ES) Nr. 575/2013 366 straipsnyje.</w:t>
            </w:r>
          </w:p>
          <w:p w14:paraId="779600D5" w14:textId="77777777" w:rsidR="005970B6" w:rsidRPr="002D60D7" w:rsidRDefault="005970B6" w:rsidP="004C445F">
            <w:pPr>
              <w:suppressAutoHyphens/>
              <w:autoSpaceDE w:val="0"/>
              <w:autoSpaceDN w:val="0"/>
              <w:adjustRightInd w:val="0"/>
              <w:spacing w:before="0" w:after="0"/>
              <w:rPr>
                <w:rStyle w:val="InstructionsTabelleberschrift"/>
              </w:rPr>
            </w:pPr>
            <w:r>
              <w:rPr>
                <w:rFonts w:ascii="Times New Roman" w:hAnsi="Times New Roman"/>
                <w:sz w:val="24"/>
              </w:rPr>
              <w:t>Nurodomi multiplikatoriaus koeficientai, faktiškai taikomi nuosavų lėšų reikalavimams apskaičiuoti; atitinkamais atvejais po Reglamento (ES) Nr. 575/2013 500c straipsnio taikymo.</w:t>
            </w:r>
          </w:p>
          <w:p w14:paraId="50AAD27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48824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NUMANOMAS KAPITALO POREIKIS APATINEI CTP RIBAI. ĮVERTINTOS GRYNOSIOS ILGOSIOS / TRUMPOSIOS POZICIJOS PRITAIKIUS APRIBOJIMĄ</w:t>
            </w:r>
          </w:p>
          <w:p w14:paraId="494DC1BB" w14:textId="2CBA2FF8" w:rsidR="005970B6" w:rsidRPr="002D60D7" w:rsidRDefault="005970B6" w:rsidP="004C445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Nurodant sumą, naudojamą apatinei kapitalo poreikio koeficiento ribai nustatyti visiems kainų rizikos veiksniams pagal Reglamento (ES) Nr. 575/2013 364 straipsnio 3 dalies c punktą, atsižvelgiama į pasirinkimo galimybę, nurodytą to reglamento 335 straipsnyje, kuriame nurodoma, kad įstaiga gali apriboti vertinimo rezultatą ir grynąją poziciją didžiausio galimo nuostolio, susijusio su įsipareigojimų neįvykdymu, suma.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Eilutės</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35E94AC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POZICIJŲ SUMA</w:t>
            </w:r>
          </w:p>
          <w:p w14:paraId="51E6C5C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DCEF510"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Atitinka pozicijos, užsienio valiutos kurso ir biržos prekių kainos rizikos, nurodytų Reglamento (ES) Nr. 575/2013 363 straipsnio 1 dalyje, dalį, susijusią su rizikos veiksniais, nurodytais to reglamento 367 straipsnio 2 dalyje.</w:t>
            </w:r>
          </w:p>
          <w:p w14:paraId="1E849456"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0030–0060 (VAR ir VAR nepalankiausiomis sąlygomis) skiltyse bendrų sumų eilutėje nurodytos reikšmės nėra lygios išskaidytoms atitinkamų rizikos komponentų VaR / VaR nepalankiausiomis sąlygomis reikšmėms.</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903" w:type="dxa"/>
          </w:tcPr>
          <w:p w14:paraId="27B63C5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SKOLOS PRIEMONĖS, KURIOMIS PREKIAUJAMA</w:t>
            </w:r>
          </w:p>
          <w:p w14:paraId="15354D11" w14:textId="079C5AF5"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Atitinka pozicijos rizikos, nurodytos Reglamento (ES) Nr. 575/2013 363 straipsnio 1 dalyje, dalį, susijusią su palūkanų normų rizikos veiksniais, nurodytais to reglamento 367 straipsnio 2 dalie a punkte.</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39D95E9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BENDROJI RIZIKA</w:t>
            </w:r>
          </w:p>
          <w:p w14:paraId="630ECD46" w14:textId="77777777"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 xml:space="preserve">Bendrosios rizikos komponentas, nurodytas Reglamento (ES) Nr. 575/2013 362 straipsnyje.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2815D7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SPECIFINĖ RIZIKA</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Specifinės rizikos komponentas, nurodytas Reglamento (ES) Nr. 575/2013 362 straipsnyje.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1DA02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NUOSAVYBĖS VERTYBINIAI POPIERIAI</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145A0B19"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Atitinka pozicijos rizikos, nurodytos Reglamento (ES) Nr. 575/2013 363 straipsnio 1 dalyje, dalį, susijusią su nuosavybės vertybinių popierių rizikos veiksniais, nurodytais to reglamento 367 straipsnio 2 dalie c punkte. </w:t>
            </w:r>
          </w:p>
          <w:p w14:paraId="7E55C50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2CD176E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NUOSAVYBĖS VERTYBINIAI POPIERIAI. BENDROJI RIZIKA</w:t>
            </w:r>
          </w:p>
          <w:p w14:paraId="7ACC51D0"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Bendrosios rizikos komponentas, nurodytas Reglamento (ES) Nr. 575/2013 362 straipsnyje.</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4DF223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NUOSAVYBĖS VERTYBINIAI POPIERIAI. SPECIFINĖ RIZIKA</w:t>
            </w:r>
          </w:p>
          <w:p w14:paraId="6F314929"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Specifinės rizikos komponentas, nurodytas Reglamento (ES) Nr. 575/2013 362 straipsnyje.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09DDEB7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UŽSIENIO VALIUTOS KURSO RIZIKA</w:t>
            </w:r>
          </w:p>
          <w:p w14:paraId="219E93CA"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Reglamento (ES) Nr. 575/2013 363 straipsnio 1 dalis ir 367 straipsnio 2 dalies b punktas.</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2B9D470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BIRŽOS PREKIŲ KAINOS RIZIKA</w:t>
            </w:r>
          </w:p>
          <w:p w14:paraId="4BBB0F31" w14:textId="4679FFC1"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Reglamento (ES) Nr. 575/2013 363 straipsnio 1 dalis ir 367 straipsnio 2 dalies d punktas.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79C8EA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BENDROSIOS RIZIKOS SUMA</w:t>
            </w:r>
          </w:p>
          <w:p w14:paraId="0C19B9D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Rinkos rizika, kurią sukelia skolos priemonių, kuriomis prekiaujama, nuosavybės vertybinių popierių, užsienio valiutos kurso ir biržos prekių kainų bendra dinamika rinkoje. Bendrosios rizikos VaR, susijusi su visais rizikos veiksniais (jei taikoma, atsižvelgiant į koreliacijos poveikį). </w:t>
            </w:r>
          </w:p>
          <w:p w14:paraId="58946EA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116F184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BENDRA SPECIFINĖS RIZIKOS SUMA</w:t>
            </w:r>
          </w:p>
          <w:p w14:paraId="6E0205CC" w14:textId="77777777" w:rsidR="005970B6" w:rsidRPr="00696301" w:rsidRDefault="005970B6" w:rsidP="004C445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 xml:space="preserve">Skolos priemonių, kuriomis prekiaujama, ir nuosavybės vertybinių popierių specifinės rizikos sudedamoji dalis. Prekybos knygos nuosavybės vertybinių </w:t>
            </w:r>
            <w:r>
              <w:rPr>
                <w:rStyle w:val="InstructionsTabelleText"/>
                <w:rFonts w:ascii="Times New Roman" w:hAnsi="Times New Roman"/>
                <w:sz w:val="24"/>
              </w:rPr>
              <w:lastRenderedPageBreak/>
              <w:t>popierių ir skolos priemonių, kuriomis prekiaujama, specifinės rizikos VaR (jei taikoma, atsižvelgiant į koreliacijos poveikį).</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0C25CE3" w:rsidR="00DD00B4" w:rsidRPr="00696301" w:rsidRDefault="0076375E" w:rsidP="004C445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71557" w14:textId="77777777" w:rsidR="001D7222" w:rsidRDefault="001D7222" w:rsidP="00D946DB">
      <w:pPr>
        <w:spacing w:before="0" w:after="0"/>
      </w:pPr>
      <w:r>
        <w:separator/>
      </w:r>
    </w:p>
  </w:endnote>
  <w:endnote w:type="continuationSeparator" w:id="0">
    <w:p w14:paraId="78405556" w14:textId="77777777" w:rsidR="001D7222" w:rsidRDefault="001D7222" w:rsidP="00D946DB">
      <w:pPr>
        <w:spacing w:before="0" w:after="0"/>
      </w:pPr>
      <w:r>
        <w:continuationSeparator/>
      </w:r>
    </w:p>
  </w:endnote>
  <w:endnote w:type="continuationNotice" w:id="1">
    <w:p w14:paraId="1E4D48D1" w14:textId="77777777" w:rsidR="001D7222" w:rsidRDefault="001D72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7FAA" w14:textId="77777777" w:rsidR="001D7222" w:rsidRDefault="001D7222" w:rsidP="00D946DB">
      <w:pPr>
        <w:spacing w:before="0" w:after="0"/>
      </w:pPr>
      <w:r>
        <w:separator/>
      </w:r>
    </w:p>
  </w:footnote>
  <w:footnote w:type="continuationSeparator" w:id="0">
    <w:p w14:paraId="6DB92C41" w14:textId="77777777" w:rsidR="001D7222" w:rsidRDefault="001D7222" w:rsidP="00D946DB">
      <w:pPr>
        <w:spacing w:before="0" w:after="0"/>
      </w:pPr>
      <w:r>
        <w:continuationSeparator/>
      </w:r>
    </w:p>
  </w:footnote>
  <w:footnote w:type="continuationNotice" w:id="1">
    <w:p w14:paraId="7F31BD24" w14:textId="77777777" w:rsidR="001D7222" w:rsidRDefault="001D7222">
      <w:pPr>
        <w:spacing w:before="0" w:after="0"/>
      </w:pPr>
    </w:p>
  </w:footnote>
  <w:footnote w:id="2">
    <w:p w14:paraId="3507A652" w14:textId="1546AF66" w:rsidR="00C3070C" w:rsidRPr="00B828CC" w:rsidRDefault="00C3070C" w:rsidP="00C91751">
      <w:r>
        <w:rPr>
          <w:rStyle w:val="FootnoteReference"/>
        </w:rPr>
        <w:footnoteRef/>
      </w:r>
      <w:r>
        <w:t xml:space="preserve"> </w:t>
      </w:r>
      <w:r>
        <w:rPr>
          <w:rFonts w:ascii="Times New Roman" w:hAnsi="Times New Roman"/>
        </w:rPr>
        <w:t>2014 m. kovo 12 d. Komisijos deleguotasis reglamentas (ES) Nr. 525/2014, kuriuo papildomos Europos Parlamento ir Tarybos reglamento (ES) Nr. 575/2013 nuostatos, susijusios su rinkos apibrėžimo techniniais reguliavimo standartais, (OL L 148, 2014 5 20, p. 15,</w:t>
      </w:r>
      <w:r>
        <w:t xml:space="preserve"> </w:t>
      </w:r>
      <w:r>
        <w:rPr>
          <w:rFonts w:ascii="Times New Roman" w:hAnsi="Times New Roman"/>
        </w:rPr>
        <w:t>ELI: http://data.europa.eu/eli/reg_del/2014/525/oj)</w:t>
      </w:r>
      <w:r>
        <w:rPr>
          <w:rFonts w:ascii="Times New Roman" w:hAnsi="Times New Roman"/>
          <w:i/>
        </w:rPr>
        <w:t>.</w:t>
      </w:r>
    </w:p>
  </w:footnote>
  <w:footnote w:id="3">
    <w:p w14:paraId="018474C7" w14:textId="4B859446" w:rsidR="00C3070C" w:rsidRPr="00A11C6E" w:rsidRDefault="00C3070C">
      <w:pPr>
        <w:pStyle w:val="FootnoteText"/>
      </w:pPr>
      <w:r>
        <w:rPr>
          <w:rStyle w:val="FootnoteReference"/>
        </w:rPr>
        <w:footnoteRef/>
      </w:r>
      <w:r>
        <w:t xml:space="preserve"> 2014 m. rugsėjo 4 d. Komisijos įgyvendinimo reglamentas (ES) Nr. 945/2014, kuriuo pagal Europos Parlamento ir Tarybos reglamentą (ES) Nr. 575/2013 nustatomi atitinkamų tinkamai diversifikuotų indeksų techniniai įgyvendinimo standartai (OL L 265, 2014 9 5, p. 3, ELI: http://data.europa.eu/eli/reg_impl/2014/945/oj).</w:t>
      </w:r>
    </w:p>
  </w:footnote>
  <w:footnote w:id="4">
    <w:p w14:paraId="22A9C113" w14:textId="5D688A5C" w:rsidR="0014702F" w:rsidRPr="006B7076" w:rsidRDefault="0014702F" w:rsidP="006B7076">
      <w:pPr>
        <w:pStyle w:val="FootnoteText"/>
        <w:jc w:val="left"/>
      </w:pPr>
      <w:r>
        <w:rPr>
          <w:rStyle w:val="FootnoteReference"/>
        </w:rPr>
        <w:footnoteRef/>
      </w:r>
      <w:r>
        <w:t xml:space="preserve"> 2014 m. gegužės 15 d. </w:t>
      </w:r>
      <w:bookmarkStart w:id="129" w:name="_Hlk204078738"/>
      <w:r>
        <w:t>Europos Parlamento ir Tarybos</w:t>
      </w:r>
      <w:bookmarkEnd w:id="129"/>
      <w:r>
        <w:t xml:space="preserve"> direktyva 2014/65/ES dėl finansinių priemonių rinkų, kuria iš dalies keičiamos Direktyva 2002/92/EB ir Direktyva 2011/61/ES (OL L 173, 2014 6 12, p. 349,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468F5"/>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1A8F"/>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69B8"/>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C0691"/>
    <w:rsid w:val="006C0915"/>
    <w:rsid w:val="006C0EF3"/>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45D"/>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14C"/>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678"/>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3BB"/>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A41"/>
    <w:rsid w:val="00FE5F0E"/>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lt-L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lt-LT"/>
    </w:rPr>
  </w:style>
  <w:style w:type="character" w:customStyle="1" w:styleId="Heading2Char">
    <w:name w:val="Heading 2 Char"/>
    <w:link w:val="Heading2"/>
    <w:uiPriority w:val="99"/>
    <w:locked/>
    <w:rsid w:val="00EC5046"/>
    <w:rPr>
      <w:rFonts w:ascii="Verdana" w:hAnsi="Verdana" w:cs="Times New Roman"/>
      <w:b/>
      <w:sz w:val="24"/>
      <w:szCs w:val="24"/>
      <w:u w:val="single"/>
      <w:lang w:val="lt-LT"/>
    </w:rPr>
  </w:style>
  <w:style w:type="character" w:customStyle="1" w:styleId="Heading3Char">
    <w:name w:val="Heading 3 Char"/>
    <w:aliases w:val="Title 2 Char"/>
    <w:uiPriority w:val="99"/>
    <w:locked/>
    <w:rsid w:val="00884FEB"/>
    <w:rPr>
      <w:rFonts w:cs="Times New Roman"/>
      <w:sz w:val="24"/>
      <w:szCs w:val="24"/>
      <w:lang w:val="lt-L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t-L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t-L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t-L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t-L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lt-L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3.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107</TotalTime>
  <Pages>24</Pages>
  <Words>6097</Words>
  <Characters>42493</Characters>
  <Application>Microsoft Office Word</Application>
  <DocSecurity>0</DocSecurity>
  <Lines>1249</Lines>
  <Paragraphs>714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BUTRIMAVICE Renata (DGT)</cp:lastModifiedBy>
  <cp:revision>11</cp:revision>
  <dcterms:created xsi:type="dcterms:W3CDTF">2025-10-06T12:40:00Z</dcterms:created>
  <dcterms:modified xsi:type="dcterms:W3CDTF">2025-10-09T14:07:00Z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